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F91F" w14:textId="77777777" w:rsidR="000B5E09" w:rsidRPr="000C112B" w:rsidRDefault="00F502C7" w:rsidP="00BD0220">
      <w:pPr>
        <w:tabs>
          <w:tab w:val="left" w:pos="9540"/>
        </w:tabs>
        <w:ind w:right="614"/>
        <w:rPr>
          <w:rFonts w:cs="Arial Unicode MS"/>
          <w:color w:val="231F20"/>
          <w:sz w:val="20"/>
          <w:szCs w:val="20"/>
        </w:rPr>
      </w:pPr>
      <w:r w:rsidRPr="000C112B">
        <w:rPr>
          <w:rFonts w:cs="Arial Unicode MS"/>
          <w:color w:val="231F20"/>
          <w:sz w:val="20"/>
          <w:szCs w:val="20"/>
        </w:rPr>
        <w:t>Ducenta Squared Asset Management</w:t>
      </w:r>
      <w:r w:rsidR="00BD0220" w:rsidRPr="000C112B">
        <w:rPr>
          <w:rFonts w:cs="Arial Unicode MS"/>
          <w:color w:val="231F20"/>
          <w:sz w:val="20"/>
          <w:szCs w:val="20"/>
        </w:rPr>
        <w:t xml:space="preserve"> (“</w:t>
      </w:r>
      <w:r w:rsidRPr="000C112B">
        <w:rPr>
          <w:rFonts w:cs="Arial Unicode MS"/>
          <w:color w:val="231F20"/>
          <w:sz w:val="20"/>
          <w:szCs w:val="20"/>
        </w:rPr>
        <w:t>DSAM</w:t>
      </w:r>
      <w:r w:rsidR="00BD0220" w:rsidRPr="000C112B">
        <w:rPr>
          <w:rFonts w:cs="Arial Unicode MS"/>
          <w:color w:val="231F20"/>
          <w:sz w:val="20"/>
          <w:szCs w:val="20"/>
        </w:rPr>
        <w:t>”</w:t>
      </w:r>
      <w:r w:rsidRPr="000C112B">
        <w:rPr>
          <w:rFonts w:cs="Arial Unicode MS"/>
          <w:color w:val="231F20"/>
          <w:sz w:val="20"/>
          <w:szCs w:val="20"/>
        </w:rPr>
        <w:t>, “We”, “Us”</w:t>
      </w:r>
      <w:r w:rsidR="00BD0220" w:rsidRPr="000C112B">
        <w:rPr>
          <w:rFonts w:cs="Arial Unicode MS"/>
          <w:color w:val="231F20"/>
          <w:sz w:val="20"/>
          <w:szCs w:val="20"/>
        </w:rPr>
        <w:t>)</w:t>
      </w:r>
      <w:r w:rsidR="00E92989" w:rsidRPr="000C112B">
        <w:rPr>
          <w:rFonts w:cs="Arial Unicode MS"/>
          <w:color w:val="231F20"/>
          <w:sz w:val="20"/>
          <w:szCs w:val="20"/>
        </w:rPr>
        <w:t xml:space="preserve"> is a registered Investment Adviser with the Securities and Exchange Commission under the Investment Advisers Act of 1940.</w:t>
      </w:r>
    </w:p>
    <w:p w14:paraId="3106EABC" w14:textId="77777777" w:rsidR="00D1371C" w:rsidRPr="000C112B" w:rsidRDefault="00D1371C">
      <w:pPr>
        <w:pStyle w:val="BodyText"/>
        <w:spacing w:line="160" w:lineRule="auto"/>
        <w:ind w:left="106" w:right="614"/>
        <w:rPr>
          <w:rFonts w:cs="Arial Unicode MS"/>
          <w:color w:val="231F20"/>
          <w:sz w:val="20"/>
          <w:szCs w:val="20"/>
        </w:rPr>
      </w:pPr>
    </w:p>
    <w:p w14:paraId="71680B48" w14:textId="0CE29DF8" w:rsidR="000B5E09" w:rsidRPr="00CE3E60" w:rsidRDefault="002B6F62" w:rsidP="004658F3">
      <w:pPr>
        <w:rPr>
          <w:color w:val="C00000"/>
          <w:sz w:val="20"/>
          <w:szCs w:val="20"/>
        </w:rPr>
      </w:pPr>
      <w:r w:rsidRPr="000C112B">
        <w:rPr>
          <w:rFonts w:cs="Arial Unicode MS"/>
          <w:color w:val="231F20"/>
          <w:sz w:val="20"/>
          <w:szCs w:val="20"/>
        </w:rPr>
        <w:t>Brokerage and investment advisory services and fees differ, it is important for the retail investor to understand the differences.  F</w:t>
      </w:r>
      <w:r w:rsidR="00FB1216" w:rsidRPr="000C112B">
        <w:rPr>
          <w:rFonts w:cs="Arial Unicode MS"/>
          <w:color w:val="231F20"/>
          <w:sz w:val="20"/>
          <w:szCs w:val="20"/>
        </w:rPr>
        <w:t>ree</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and</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simple</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tools</w:t>
      </w:r>
      <w:r w:rsidR="00FB1216" w:rsidRPr="000C112B">
        <w:rPr>
          <w:rFonts w:cs="Arial Unicode MS"/>
          <w:color w:val="231F20"/>
          <w:spacing w:val="-13"/>
          <w:sz w:val="20"/>
          <w:szCs w:val="20"/>
        </w:rPr>
        <w:t xml:space="preserve"> </w:t>
      </w:r>
      <w:r w:rsidR="00FB1216" w:rsidRPr="000C112B">
        <w:rPr>
          <w:rFonts w:cs="Arial Unicode MS"/>
          <w:color w:val="231F20"/>
          <w:sz w:val="20"/>
          <w:szCs w:val="20"/>
        </w:rPr>
        <w:t>are</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available</w:t>
      </w:r>
      <w:r w:rsidR="00FB1216" w:rsidRPr="000C112B">
        <w:rPr>
          <w:rFonts w:cs="Arial Unicode MS"/>
          <w:color w:val="231F20"/>
          <w:w w:val="97"/>
          <w:sz w:val="20"/>
          <w:szCs w:val="20"/>
        </w:rPr>
        <w:t xml:space="preserve"> </w:t>
      </w:r>
      <w:r w:rsidR="00FB1216" w:rsidRPr="000C112B">
        <w:rPr>
          <w:rFonts w:cs="Arial Unicode MS"/>
          <w:color w:val="231F20"/>
          <w:sz w:val="20"/>
          <w:szCs w:val="20"/>
        </w:rPr>
        <w:t>to</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research</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firms</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and</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financial</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professionals</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at</w:t>
      </w:r>
      <w:r w:rsidR="00FB1216" w:rsidRPr="000C112B">
        <w:rPr>
          <w:rFonts w:cs="Arial Unicode MS"/>
          <w:color w:val="231F20"/>
          <w:spacing w:val="-12"/>
          <w:sz w:val="20"/>
          <w:szCs w:val="20"/>
        </w:rPr>
        <w:t xml:space="preserve"> </w:t>
      </w:r>
      <w:hyperlink r:id="rId7">
        <w:r w:rsidR="00FB1216" w:rsidRPr="00DE6558">
          <w:rPr>
            <w:rFonts w:cs="Arial Unicode MS"/>
            <w:b/>
            <w:bCs/>
            <w:color w:val="0F243E" w:themeColor="text2" w:themeShade="80"/>
            <w:u w:val="single"/>
          </w:rPr>
          <w:t>Investor.gov/CRS</w:t>
        </w:r>
      </w:hyperlink>
      <w:r w:rsidR="00FB1216" w:rsidRPr="000C112B">
        <w:rPr>
          <w:rFonts w:cs="Arial Unicode MS"/>
          <w:color w:val="231F20"/>
          <w:sz w:val="20"/>
          <w:szCs w:val="20"/>
        </w:rPr>
        <w:t>,</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which</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also</w:t>
      </w:r>
      <w:r w:rsidR="00FB1216" w:rsidRPr="000C112B">
        <w:rPr>
          <w:rFonts w:cs="Arial Unicode MS"/>
          <w:color w:val="231F20"/>
          <w:spacing w:val="-13"/>
          <w:sz w:val="20"/>
          <w:szCs w:val="20"/>
        </w:rPr>
        <w:t xml:space="preserve"> </w:t>
      </w:r>
      <w:r w:rsidR="00FB1216" w:rsidRPr="000C112B">
        <w:rPr>
          <w:rFonts w:cs="Arial Unicode MS"/>
          <w:color w:val="231F20"/>
          <w:sz w:val="20"/>
          <w:szCs w:val="20"/>
        </w:rPr>
        <w:t>provides</w:t>
      </w:r>
      <w:r w:rsidR="00FB1216" w:rsidRPr="000C112B">
        <w:rPr>
          <w:rFonts w:cs="Arial Unicode MS"/>
          <w:color w:val="231F20"/>
          <w:spacing w:val="-12"/>
          <w:sz w:val="20"/>
          <w:szCs w:val="20"/>
        </w:rPr>
        <w:t xml:space="preserve"> </w:t>
      </w:r>
      <w:r w:rsidR="00FB1216" w:rsidRPr="000C112B">
        <w:rPr>
          <w:rFonts w:cs="Arial Unicode MS"/>
          <w:color w:val="231F20"/>
          <w:sz w:val="20"/>
          <w:szCs w:val="20"/>
        </w:rPr>
        <w:t>educational</w:t>
      </w:r>
      <w:r w:rsidR="00FB1216" w:rsidRPr="000C112B">
        <w:rPr>
          <w:rFonts w:cs="Arial Unicode MS"/>
          <w:color w:val="231F20"/>
          <w:spacing w:val="-1"/>
          <w:sz w:val="20"/>
          <w:szCs w:val="20"/>
        </w:rPr>
        <w:t xml:space="preserve"> </w:t>
      </w:r>
      <w:r w:rsidR="00FB1216" w:rsidRPr="000C112B">
        <w:rPr>
          <w:rFonts w:cs="Arial Unicode MS"/>
          <w:color w:val="231F20"/>
          <w:sz w:val="20"/>
          <w:szCs w:val="20"/>
        </w:rPr>
        <w:t>materials</w:t>
      </w:r>
      <w:r w:rsidR="00FB1216" w:rsidRPr="000C112B">
        <w:rPr>
          <w:rFonts w:cs="Arial Unicode MS"/>
          <w:color w:val="231F20"/>
          <w:spacing w:val="-24"/>
          <w:sz w:val="20"/>
          <w:szCs w:val="20"/>
        </w:rPr>
        <w:t xml:space="preserve"> </w:t>
      </w:r>
      <w:r w:rsidR="00FB1216" w:rsidRPr="000C112B">
        <w:rPr>
          <w:rFonts w:cs="Arial Unicode MS"/>
          <w:color w:val="231F20"/>
          <w:sz w:val="20"/>
          <w:szCs w:val="20"/>
        </w:rPr>
        <w:t>about</w:t>
      </w:r>
      <w:r w:rsidR="00FB1216" w:rsidRPr="000C112B">
        <w:rPr>
          <w:rFonts w:cs="Arial Unicode MS"/>
          <w:color w:val="231F20"/>
          <w:spacing w:val="-25"/>
          <w:sz w:val="20"/>
          <w:szCs w:val="20"/>
        </w:rPr>
        <w:t xml:space="preserve"> </w:t>
      </w:r>
      <w:r w:rsidR="00FB1216" w:rsidRPr="000C112B">
        <w:rPr>
          <w:rFonts w:cs="Arial Unicode MS"/>
          <w:color w:val="231F20"/>
          <w:sz w:val="20"/>
          <w:szCs w:val="20"/>
        </w:rPr>
        <w:t>broker-dealers,</w:t>
      </w:r>
      <w:r w:rsidR="00FB1216" w:rsidRPr="000C112B">
        <w:rPr>
          <w:rFonts w:cs="Arial Unicode MS"/>
          <w:color w:val="231F20"/>
          <w:spacing w:val="-25"/>
          <w:sz w:val="20"/>
          <w:szCs w:val="20"/>
        </w:rPr>
        <w:t xml:space="preserve"> </w:t>
      </w:r>
      <w:r w:rsidR="00FB1216" w:rsidRPr="000C112B">
        <w:rPr>
          <w:rFonts w:cs="Arial Unicode MS"/>
          <w:color w:val="231F20"/>
          <w:sz w:val="20"/>
          <w:szCs w:val="20"/>
        </w:rPr>
        <w:t>investment</w:t>
      </w:r>
      <w:r w:rsidR="00FB1216" w:rsidRPr="000C112B">
        <w:rPr>
          <w:rFonts w:cs="Arial Unicode MS"/>
          <w:color w:val="231F20"/>
          <w:spacing w:val="-25"/>
          <w:sz w:val="20"/>
          <w:szCs w:val="20"/>
        </w:rPr>
        <w:t xml:space="preserve"> </w:t>
      </w:r>
      <w:r w:rsidR="00FB1216" w:rsidRPr="000C112B">
        <w:rPr>
          <w:rFonts w:cs="Arial Unicode MS"/>
          <w:color w:val="231F20"/>
          <w:sz w:val="20"/>
          <w:szCs w:val="20"/>
        </w:rPr>
        <w:t>advisers,</w:t>
      </w:r>
      <w:r w:rsidR="00FB1216" w:rsidRPr="000C112B">
        <w:rPr>
          <w:rFonts w:cs="Arial Unicode MS"/>
          <w:color w:val="231F20"/>
          <w:spacing w:val="-26"/>
          <w:sz w:val="20"/>
          <w:szCs w:val="20"/>
        </w:rPr>
        <w:t xml:space="preserve"> </w:t>
      </w:r>
      <w:r w:rsidR="00FB1216" w:rsidRPr="000C112B">
        <w:rPr>
          <w:rFonts w:cs="Arial Unicode MS"/>
          <w:color w:val="231F20"/>
          <w:sz w:val="20"/>
          <w:szCs w:val="20"/>
        </w:rPr>
        <w:t>and</w:t>
      </w:r>
      <w:r w:rsidR="00FB1216" w:rsidRPr="000C112B">
        <w:rPr>
          <w:rFonts w:cs="Arial Unicode MS"/>
          <w:color w:val="231F20"/>
          <w:spacing w:val="-25"/>
          <w:sz w:val="20"/>
          <w:szCs w:val="20"/>
        </w:rPr>
        <w:t xml:space="preserve"> </w:t>
      </w:r>
      <w:r w:rsidR="00FB1216" w:rsidRPr="000C112B">
        <w:rPr>
          <w:rFonts w:cs="Arial Unicode MS"/>
          <w:color w:val="231F20"/>
          <w:sz w:val="20"/>
          <w:szCs w:val="20"/>
        </w:rPr>
        <w:t>investing</w:t>
      </w:r>
      <w:r w:rsidRPr="000C112B">
        <w:rPr>
          <w:rFonts w:cs="Arial Unicode MS"/>
          <w:color w:val="231F20"/>
          <w:sz w:val="20"/>
          <w:szCs w:val="20"/>
        </w:rPr>
        <w:t>.</w:t>
      </w:r>
      <w:r w:rsidR="00791A61" w:rsidRPr="000C112B">
        <w:rPr>
          <w:rFonts w:cs="Arial Unicode MS"/>
          <w:color w:val="231F20"/>
          <w:sz w:val="20"/>
          <w:szCs w:val="20"/>
        </w:rPr>
        <w:t xml:space="preserve"> Additional information and disclosures pertaining to </w:t>
      </w:r>
      <w:r w:rsidR="00F502C7" w:rsidRPr="000C112B">
        <w:rPr>
          <w:rFonts w:cs="Arial Unicode MS"/>
          <w:color w:val="231F20"/>
          <w:sz w:val="20"/>
          <w:szCs w:val="20"/>
        </w:rPr>
        <w:t>DSAM</w:t>
      </w:r>
      <w:r w:rsidR="00791A61" w:rsidRPr="000C112B">
        <w:rPr>
          <w:rFonts w:cs="Arial Unicode MS"/>
          <w:color w:val="231F20"/>
          <w:sz w:val="20"/>
          <w:szCs w:val="20"/>
        </w:rPr>
        <w:t xml:space="preserve"> are available through the Investment</w:t>
      </w:r>
      <w:r w:rsidR="00F502C7" w:rsidRPr="000C112B">
        <w:rPr>
          <w:rFonts w:cs="Arial Unicode MS"/>
          <w:color w:val="231F20"/>
          <w:sz w:val="20"/>
          <w:szCs w:val="20"/>
        </w:rPr>
        <w:t xml:space="preserve"> Adviser Public Disclosure site </w:t>
      </w:r>
      <w:hyperlink r:id="rId8" w:history="1">
        <w:r w:rsidR="00791A61" w:rsidRPr="00476ED2">
          <w:rPr>
            <w:b/>
            <w:bCs/>
            <w:color w:val="0F243E" w:themeColor="text2" w:themeShade="80"/>
            <w:u w:val="single"/>
          </w:rPr>
          <w:t>https://adviserinfo.sec.gov/</w:t>
        </w:r>
      </w:hyperlink>
      <w:r w:rsidR="00791A61" w:rsidRPr="000C112B">
        <w:rPr>
          <w:rFonts w:cs="Arial Unicode MS"/>
          <w:color w:val="231F20"/>
          <w:sz w:val="20"/>
          <w:szCs w:val="20"/>
        </w:rPr>
        <w:t xml:space="preserve">, through a request for the adviser’s ADV 2A to </w:t>
      </w:r>
      <w:hyperlink r:id="rId9" w:history="1">
        <w:r w:rsidR="000A46DE" w:rsidRPr="00BC6FAD">
          <w:rPr>
            <w:b/>
            <w:bCs/>
            <w:color w:val="0F243E" w:themeColor="text2" w:themeShade="80"/>
            <w:u w:val="single"/>
          </w:rPr>
          <w:t>clientrelations@ducentasquared.com</w:t>
        </w:r>
      </w:hyperlink>
      <w:r w:rsidR="00791A61" w:rsidRPr="000C112B">
        <w:rPr>
          <w:rFonts w:cs="Arial Unicode MS"/>
          <w:color w:val="231F20"/>
          <w:sz w:val="20"/>
          <w:szCs w:val="20"/>
        </w:rPr>
        <w:t>, or by clicking</w:t>
      </w:r>
      <w:r w:rsidR="00791A61" w:rsidRPr="000C112B">
        <w:rPr>
          <w:rStyle w:val="Hyperlink"/>
          <w:color w:val="0F243E" w:themeColor="text2" w:themeShade="80"/>
          <w:sz w:val="20"/>
          <w:szCs w:val="20"/>
          <w:u w:val="none"/>
        </w:rPr>
        <w:t xml:space="preserve"> </w:t>
      </w:r>
      <w:hyperlink r:id="rId10" w:history="1">
        <w:r w:rsidR="00A55548" w:rsidRPr="00BC6FAD">
          <w:rPr>
            <w:rStyle w:val="Hyperlink"/>
            <w:b/>
            <w:bCs/>
            <w:color w:val="0F243E" w:themeColor="text2" w:themeShade="80"/>
          </w:rPr>
          <w:t>here</w:t>
        </w:r>
      </w:hyperlink>
      <w:r w:rsidR="00A55548">
        <w:rPr>
          <w:sz w:val="20"/>
          <w:szCs w:val="20"/>
        </w:rPr>
        <w:t>.</w:t>
      </w:r>
    </w:p>
    <w:p w14:paraId="3F85B2F5" w14:textId="77777777" w:rsidR="00160293" w:rsidRPr="00A55548" w:rsidRDefault="00160293" w:rsidP="00160293">
      <w:pPr>
        <w:rPr>
          <w:sz w:val="20"/>
          <w:szCs w:val="20"/>
        </w:rPr>
      </w:pPr>
    </w:p>
    <w:p w14:paraId="072F26C4" w14:textId="77777777" w:rsidR="000B5E09" w:rsidRPr="00A55548" w:rsidRDefault="00FB1216" w:rsidP="004658F3">
      <w:pPr>
        <w:pStyle w:val="Heading1"/>
        <w:ind w:left="0" w:right="614"/>
        <w:rPr>
          <w:rFonts w:eastAsia="Arial Unicode MS" w:cs="Arial Unicode MS"/>
          <w:b w:val="0"/>
          <w:bCs w:val="0"/>
          <w:i w:val="0"/>
          <w:sz w:val="22"/>
          <w:szCs w:val="22"/>
        </w:rPr>
      </w:pPr>
      <w:r w:rsidRPr="00A55548">
        <w:rPr>
          <w:w w:val="110"/>
          <w:sz w:val="22"/>
          <w:szCs w:val="22"/>
        </w:rPr>
        <w:t>What</w:t>
      </w:r>
      <w:r w:rsidRPr="00A55548">
        <w:rPr>
          <w:spacing w:val="-27"/>
          <w:w w:val="110"/>
          <w:sz w:val="22"/>
          <w:szCs w:val="22"/>
        </w:rPr>
        <w:t xml:space="preserve"> </w:t>
      </w:r>
      <w:r w:rsidRPr="00A55548">
        <w:rPr>
          <w:w w:val="110"/>
          <w:sz w:val="22"/>
          <w:szCs w:val="22"/>
        </w:rPr>
        <w:t>investment</w:t>
      </w:r>
      <w:r w:rsidRPr="00A55548">
        <w:rPr>
          <w:spacing w:val="-27"/>
          <w:w w:val="110"/>
          <w:sz w:val="22"/>
          <w:szCs w:val="22"/>
        </w:rPr>
        <w:t xml:space="preserve"> </w:t>
      </w:r>
      <w:r w:rsidRPr="00A55548">
        <w:rPr>
          <w:w w:val="110"/>
          <w:sz w:val="22"/>
          <w:szCs w:val="22"/>
        </w:rPr>
        <w:t>services</w:t>
      </w:r>
      <w:r w:rsidRPr="00A55548">
        <w:rPr>
          <w:spacing w:val="-26"/>
          <w:w w:val="110"/>
          <w:sz w:val="22"/>
          <w:szCs w:val="22"/>
        </w:rPr>
        <w:t xml:space="preserve"> </w:t>
      </w:r>
      <w:r w:rsidRPr="00A55548">
        <w:rPr>
          <w:w w:val="110"/>
          <w:sz w:val="22"/>
          <w:szCs w:val="22"/>
        </w:rPr>
        <w:t>and</w:t>
      </w:r>
      <w:r w:rsidRPr="00A55548">
        <w:rPr>
          <w:spacing w:val="-27"/>
          <w:w w:val="110"/>
          <w:sz w:val="22"/>
          <w:szCs w:val="22"/>
        </w:rPr>
        <w:t xml:space="preserve"> </w:t>
      </w:r>
      <w:r w:rsidRPr="00A55548">
        <w:rPr>
          <w:w w:val="110"/>
          <w:sz w:val="22"/>
          <w:szCs w:val="22"/>
        </w:rPr>
        <w:t>advice</w:t>
      </w:r>
      <w:r w:rsidRPr="00A55548">
        <w:rPr>
          <w:spacing w:val="-27"/>
          <w:w w:val="110"/>
          <w:sz w:val="22"/>
          <w:szCs w:val="22"/>
        </w:rPr>
        <w:t xml:space="preserve"> </w:t>
      </w:r>
      <w:r w:rsidRPr="00A55548">
        <w:rPr>
          <w:w w:val="110"/>
          <w:sz w:val="22"/>
          <w:szCs w:val="22"/>
        </w:rPr>
        <w:t>can</w:t>
      </w:r>
      <w:r w:rsidRPr="00A55548">
        <w:rPr>
          <w:spacing w:val="-27"/>
          <w:w w:val="110"/>
          <w:sz w:val="22"/>
          <w:szCs w:val="22"/>
        </w:rPr>
        <w:t xml:space="preserve"> </w:t>
      </w:r>
      <w:r w:rsidRPr="00A55548">
        <w:rPr>
          <w:w w:val="110"/>
          <w:sz w:val="22"/>
          <w:szCs w:val="22"/>
        </w:rPr>
        <w:t>you</w:t>
      </w:r>
      <w:r w:rsidRPr="00A55548">
        <w:rPr>
          <w:spacing w:val="-27"/>
          <w:w w:val="110"/>
          <w:sz w:val="22"/>
          <w:szCs w:val="22"/>
        </w:rPr>
        <w:t xml:space="preserve"> </w:t>
      </w:r>
      <w:r w:rsidRPr="00A55548">
        <w:rPr>
          <w:w w:val="110"/>
          <w:sz w:val="22"/>
          <w:szCs w:val="22"/>
        </w:rPr>
        <w:t>provide</w:t>
      </w:r>
      <w:r w:rsidRPr="00A55548">
        <w:rPr>
          <w:spacing w:val="-27"/>
          <w:w w:val="110"/>
          <w:sz w:val="22"/>
          <w:szCs w:val="22"/>
        </w:rPr>
        <w:t xml:space="preserve"> </w:t>
      </w:r>
      <w:r w:rsidRPr="00A55548">
        <w:rPr>
          <w:w w:val="110"/>
          <w:sz w:val="22"/>
          <w:szCs w:val="22"/>
        </w:rPr>
        <w:t>me?</w:t>
      </w:r>
    </w:p>
    <w:p w14:paraId="05CC5DC6" w14:textId="6E10748E" w:rsidR="00E16537" w:rsidRPr="000C112B" w:rsidRDefault="001D3802" w:rsidP="00AB5D31">
      <w:pPr>
        <w:pStyle w:val="BodyText"/>
        <w:ind w:left="0" w:right="151"/>
        <w:rPr>
          <w:rFonts w:ascii="Calibri" w:hAnsi="Calibri" w:cs="Arial Unicode MS"/>
          <w:color w:val="231F20"/>
          <w:sz w:val="20"/>
          <w:szCs w:val="20"/>
        </w:rPr>
      </w:pPr>
      <w:r w:rsidRPr="000C112B">
        <w:rPr>
          <w:rFonts w:asciiTheme="minorHAnsi" w:hAnsiTheme="minorHAnsi" w:cs="Arial Unicode MS"/>
          <w:color w:val="231F20"/>
          <w:sz w:val="20"/>
          <w:szCs w:val="20"/>
        </w:rPr>
        <w:t>We provide investment management services</w:t>
      </w:r>
      <w:r w:rsidRPr="000C112B">
        <w:rPr>
          <w:rFonts w:ascii="Calibri" w:hAnsi="Calibri" w:cs="Arial Unicode MS"/>
          <w:color w:val="231F20"/>
          <w:sz w:val="20"/>
          <w:szCs w:val="20"/>
        </w:rPr>
        <w:t xml:space="preserve"> to individual</w:t>
      </w:r>
      <w:r w:rsidR="00545F5D" w:rsidRPr="000C112B">
        <w:rPr>
          <w:rFonts w:ascii="Calibri" w:hAnsi="Calibri" w:cs="Arial Unicode MS"/>
          <w:color w:val="231F20"/>
          <w:sz w:val="20"/>
          <w:szCs w:val="20"/>
        </w:rPr>
        <w:t xml:space="preserve"> retail investors</w:t>
      </w:r>
      <w:r w:rsidRPr="000C112B">
        <w:rPr>
          <w:rFonts w:ascii="Calibri" w:hAnsi="Calibri" w:cs="Arial Unicode MS"/>
          <w:color w:val="231F20"/>
          <w:sz w:val="20"/>
          <w:szCs w:val="20"/>
        </w:rPr>
        <w:t xml:space="preserve"> and institutional investors, trusts, charitable corporations, pension plans, investment companies and pooled investment vehicles.  We offer a variety of investment strategies that utilize fixed income securities and other instruments, including</w:t>
      </w:r>
      <w:r w:rsidR="002B6F62" w:rsidRPr="000C112B">
        <w:rPr>
          <w:rFonts w:ascii="Calibri" w:hAnsi="Calibri" w:cs="Arial Unicode MS"/>
          <w:color w:val="231F20"/>
          <w:sz w:val="20"/>
          <w:szCs w:val="20"/>
        </w:rPr>
        <w:t xml:space="preserve"> investment advisory services to retail investors directly and through wrap platforms sponsored by third parties.  Other services such as financial planning, tax, or estate planning are not a component of </w:t>
      </w:r>
      <w:proofErr w:type="gramStart"/>
      <w:r w:rsidR="002B6F62" w:rsidRPr="000C112B">
        <w:rPr>
          <w:rFonts w:ascii="Calibri" w:hAnsi="Calibri" w:cs="Arial Unicode MS"/>
          <w:color w:val="231F20"/>
          <w:sz w:val="20"/>
          <w:szCs w:val="20"/>
        </w:rPr>
        <w:t>services</w:t>
      </w:r>
      <w:proofErr w:type="gramEnd"/>
      <w:r w:rsidR="002B6F62" w:rsidRPr="000C112B">
        <w:rPr>
          <w:rFonts w:ascii="Calibri" w:hAnsi="Calibri" w:cs="Arial Unicode MS"/>
          <w:color w:val="231F20"/>
          <w:sz w:val="20"/>
          <w:szCs w:val="20"/>
        </w:rPr>
        <w:t xml:space="preserve"> offered. </w:t>
      </w:r>
      <w:r w:rsidR="00182A25" w:rsidRPr="000C112B">
        <w:rPr>
          <w:rFonts w:ascii="Calibri" w:hAnsi="Calibri" w:cs="Arial Unicode MS"/>
          <w:color w:val="231F20"/>
          <w:sz w:val="20"/>
          <w:szCs w:val="20"/>
        </w:rPr>
        <w:t>Advisory services typically consist of discretionary separate account management focusing on fixed income investments.  We do not currently offer non-discretionary advisory services to retail investors.</w:t>
      </w:r>
      <w:r w:rsidR="00545F5D" w:rsidRPr="000C112B">
        <w:rPr>
          <w:rFonts w:ascii="Calibri" w:hAnsi="Calibri" w:cs="Arial Unicode MS"/>
          <w:color w:val="231F20"/>
          <w:sz w:val="20"/>
          <w:szCs w:val="20"/>
        </w:rPr>
        <w:t xml:space="preserve">  </w:t>
      </w:r>
      <w:r w:rsidR="00C00BB3" w:rsidRPr="000C112B">
        <w:rPr>
          <w:rFonts w:ascii="Calibri" w:hAnsi="Calibri" w:cs="Arial Unicode MS"/>
          <w:color w:val="231F20"/>
          <w:sz w:val="20"/>
          <w:szCs w:val="20"/>
        </w:rPr>
        <w:t xml:space="preserve">The discretionary authority provided to us by you permits us to conduct buy and sell transactions in your account to execute the strategy you have contracted us to perform, within your investment objective and risk tolerances as defined in our client agreement.  Any discretionary authority you provide to us is revocable by you at any time by written notice.  </w:t>
      </w:r>
      <w:r w:rsidR="00545F5D" w:rsidRPr="000C112B">
        <w:rPr>
          <w:rFonts w:ascii="Calibri" w:hAnsi="Calibri" w:cs="Arial Unicode MS"/>
          <w:color w:val="231F20"/>
          <w:sz w:val="20"/>
          <w:szCs w:val="20"/>
        </w:rPr>
        <w:t>As a component of our standard services, c</w:t>
      </w:r>
      <w:r w:rsidR="00E70E77" w:rsidRPr="000C112B">
        <w:rPr>
          <w:rFonts w:ascii="Calibri" w:hAnsi="Calibri" w:cs="Arial Unicode MS"/>
          <w:color w:val="231F20"/>
          <w:sz w:val="20"/>
          <w:szCs w:val="20"/>
        </w:rPr>
        <w:t>lient portfolios are proactively reviewed for consistency with strategy and investments are consistently monitored.  Our minimum account size for institutional investors is $1,000,000. Minimum account sizes for private wealth strategies vary from $300,000 for Core and Core Plus strategies to $500,000 for High Yield Strategies.  Private wealth strategies have a minimum fee of $2,500 for Core or Core Plus strategies and a minimum fee of $3,000 for High Yield strategies.  Each client is responsible for establishing and maintaining an appropriate account with a Qualified Custodian.</w:t>
      </w:r>
      <w:r w:rsidR="00183F97" w:rsidRPr="000C112B">
        <w:rPr>
          <w:rFonts w:ascii="Calibri" w:hAnsi="Calibri" w:cs="Arial Unicode MS"/>
          <w:color w:val="231F20"/>
          <w:sz w:val="20"/>
          <w:szCs w:val="20"/>
        </w:rPr>
        <w:t xml:space="preserve"> Additional information and disclosures pertaining to </w:t>
      </w:r>
      <w:r w:rsidR="00F502C7" w:rsidRPr="000C112B">
        <w:rPr>
          <w:rFonts w:ascii="Calibri" w:hAnsi="Calibri" w:cs="Arial Unicode MS"/>
          <w:color w:val="231F20"/>
          <w:sz w:val="20"/>
          <w:szCs w:val="20"/>
        </w:rPr>
        <w:t>DSAM</w:t>
      </w:r>
      <w:r w:rsidR="00183F97" w:rsidRPr="000C112B">
        <w:rPr>
          <w:rFonts w:ascii="Calibri" w:hAnsi="Calibri" w:cs="Arial Unicode MS"/>
          <w:color w:val="231F20"/>
          <w:sz w:val="20"/>
          <w:szCs w:val="20"/>
        </w:rPr>
        <w:t xml:space="preserve"> are available through the Investment Adviser Public Disclosure site</w:t>
      </w:r>
      <w:r w:rsidR="00183F97" w:rsidRPr="000C112B">
        <w:rPr>
          <w:rFonts w:asciiTheme="minorHAnsi" w:hAnsiTheme="minorHAnsi" w:cstheme="minorHAnsi"/>
          <w:b/>
          <w:bCs/>
          <w:color w:val="231F20"/>
          <w:sz w:val="20"/>
          <w:szCs w:val="20"/>
        </w:rPr>
        <w:t xml:space="preserve"> </w:t>
      </w:r>
      <w:hyperlink r:id="rId11" w:history="1">
        <w:r w:rsidR="00A55548" w:rsidRPr="00476ED2">
          <w:rPr>
            <w:rFonts w:asciiTheme="minorHAnsi" w:hAnsiTheme="minorHAnsi" w:cstheme="minorHAnsi"/>
            <w:b/>
            <w:bCs/>
            <w:color w:val="0F243E" w:themeColor="text2" w:themeShade="80"/>
            <w:u w:val="single"/>
          </w:rPr>
          <w:t>https://adviserinfo.sec.gov/</w:t>
        </w:r>
      </w:hyperlink>
      <w:r w:rsidR="00183F97" w:rsidRPr="000C112B">
        <w:rPr>
          <w:rFonts w:ascii="Calibri" w:hAnsi="Calibri" w:cs="Arial Unicode MS"/>
          <w:color w:val="231F20"/>
          <w:sz w:val="20"/>
          <w:szCs w:val="20"/>
        </w:rPr>
        <w:t>, thr</w:t>
      </w:r>
      <w:r w:rsidR="00183F97" w:rsidRPr="000C112B">
        <w:rPr>
          <w:rFonts w:asciiTheme="minorHAnsi" w:hAnsiTheme="minorHAnsi" w:cstheme="minorHAnsi"/>
          <w:color w:val="231F20"/>
          <w:sz w:val="20"/>
          <w:szCs w:val="20"/>
        </w:rPr>
        <w:t xml:space="preserve">ough a request for the adviser’s ADV 2A to </w:t>
      </w:r>
      <w:hyperlink r:id="rId12" w:history="1">
        <w:r w:rsidR="004E5601" w:rsidRPr="00BC6FAD">
          <w:rPr>
            <w:rFonts w:asciiTheme="minorHAnsi" w:hAnsiTheme="minorHAnsi" w:cstheme="minorHAnsi"/>
            <w:b/>
            <w:bCs/>
            <w:color w:val="0F243E" w:themeColor="text2" w:themeShade="80"/>
            <w:u w:val="single"/>
          </w:rPr>
          <w:t>clientrelations@ducentasquared.com</w:t>
        </w:r>
      </w:hyperlink>
      <w:r w:rsidR="00183F97" w:rsidRPr="000C112B">
        <w:rPr>
          <w:rFonts w:asciiTheme="minorHAnsi" w:hAnsiTheme="minorHAnsi" w:cstheme="minorHAnsi"/>
          <w:color w:val="231F20"/>
          <w:sz w:val="20"/>
          <w:szCs w:val="20"/>
        </w:rPr>
        <w:t xml:space="preserve">, or by clicking </w:t>
      </w:r>
      <w:hyperlink r:id="rId13" w:history="1">
        <w:r w:rsidR="00183F97" w:rsidRPr="00BC6FAD">
          <w:rPr>
            <w:rStyle w:val="Hyperlink"/>
            <w:rFonts w:asciiTheme="minorHAnsi" w:eastAsiaTheme="minorHAnsi" w:hAnsiTheme="minorHAnsi" w:cstheme="minorHAnsi"/>
            <w:b/>
            <w:bCs/>
            <w:color w:val="0F243E" w:themeColor="text2" w:themeShade="80"/>
          </w:rPr>
          <w:t>here</w:t>
        </w:r>
        <w:r w:rsidR="00183F97" w:rsidRPr="000C112B">
          <w:rPr>
            <w:rFonts w:asciiTheme="minorHAnsi" w:hAnsiTheme="minorHAnsi" w:cstheme="minorHAnsi"/>
            <w:color w:val="231F20"/>
            <w:sz w:val="20"/>
            <w:szCs w:val="20"/>
          </w:rPr>
          <w:t>.</w:t>
        </w:r>
      </w:hyperlink>
    </w:p>
    <w:p w14:paraId="0C362B7B" w14:textId="7A569AAC" w:rsidR="007A73A0" w:rsidRPr="00A55548" w:rsidRDefault="00496415" w:rsidP="00313E70">
      <w:pPr>
        <w:pStyle w:val="BodyText"/>
        <w:numPr>
          <w:ilvl w:val="0"/>
          <w:numId w:val="6"/>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Given my financial situation, should I choose an investment advisory service?  Why or why not?</w:t>
      </w:r>
    </w:p>
    <w:p w14:paraId="152ECA27" w14:textId="6A2D5CFB" w:rsidR="00496415" w:rsidRPr="00A55548" w:rsidRDefault="00496415" w:rsidP="00313E70">
      <w:pPr>
        <w:pStyle w:val="BodyText"/>
        <w:numPr>
          <w:ilvl w:val="0"/>
          <w:numId w:val="6"/>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How will you choose investments to recommend to me?</w:t>
      </w:r>
    </w:p>
    <w:p w14:paraId="61CFD7FB" w14:textId="261E8DF1" w:rsidR="00AB1B89" w:rsidRPr="00A55548" w:rsidRDefault="00496415" w:rsidP="00313E70">
      <w:pPr>
        <w:pStyle w:val="BodyText"/>
        <w:numPr>
          <w:ilvl w:val="0"/>
          <w:numId w:val="6"/>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 xml:space="preserve">What is your relevant experience, including your licenses, </w:t>
      </w:r>
      <w:proofErr w:type="gramStart"/>
      <w:r w:rsidRPr="00A55548">
        <w:rPr>
          <w:rFonts w:ascii="Arial Narrow" w:eastAsiaTheme="minorHAnsi" w:hAnsiTheme="minorHAnsi"/>
          <w:b/>
          <w:i/>
          <w:color w:val="0F243E" w:themeColor="text2" w:themeShade="80"/>
          <w:w w:val="110"/>
        </w:rPr>
        <w:t>education</w:t>
      </w:r>
      <w:proofErr w:type="gramEnd"/>
      <w:r w:rsidRPr="00A55548">
        <w:rPr>
          <w:rFonts w:ascii="Arial Narrow" w:eastAsiaTheme="minorHAnsi" w:hAnsiTheme="minorHAnsi"/>
          <w:b/>
          <w:i/>
          <w:color w:val="0F243E" w:themeColor="text2" w:themeShade="80"/>
          <w:w w:val="110"/>
        </w:rPr>
        <w:t xml:space="preserve"> and other qualifications?  What do these qualifications mean?</w:t>
      </w:r>
    </w:p>
    <w:p w14:paraId="738FA1BB" w14:textId="77777777" w:rsidR="000B5E09" w:rsidRPr="00A55548" w:rsidRDefault="00FB1216" w:rsidP="00FF30BE">
      <w:pPr>
        <w:pStyle w:val="Heading1"/>
        <w:ind w:left="0" w:right="614"/>
        <w:rPr>
          <w:w w:val="110"/>
          <w:sz w:val="22"/>
          <w:szCs w:val="22"/>
        </w:rPr>
      </w:pPr>
      <w:r w:rsidRPr="00A55548">
        <w:rPr>
          <w:w w:val="110"/>
          <w:sz w:val="22"/>
          <w:szCs w:val="22"/>
        </w:rPr>
        <w:t>What fees will I pay?</w:t>
      </w:r>
    </w:p>
    <w:p w14:paraId="683C7473" w14:textId="77777777" w:rsidR="0074066D" w:rsidRPr="00DB0F4E" w:rsidRDefault="00986200" w:rsidP="001067EB">
      <w:pPr>
        <w:pStyle w:val="BodyText"/>
        <w:ind w:left="0" w:right="151"/>
        <w:rPr>
          <w:rFonts w:asciiTheme="minorHAnsi" w:hAnsiTheme="minorHAnsi" w:cs="Arial Unicode MS"/>
          <w:color w:val="231F20"/>
          <w:sz w:val="20"/>
          <w:szCs w:val="20"/>
        </w:rPr>
      </w:pPr>
      <w:r w:rsidRPr="00DB0F4E">
        <w:rPr>
          <w:rFonts w:asciiTheme="minorHAnsi" w:hAnsiTheme="minorHAnsi" w:cs="Arial Unicode MS"/>
          <w:color w:val="231F20"/>
          <w:sz w:val="20"/>
          <w:szCs w:val="20"/>
        </w:rPr>
        <w:t>DSAM</w:t>
      </w:r>
      <w:r w:rsidR="001D3802" w:rsidRPr="00DB0F4E">
        <w:rPr>
          <w:rFonts w:asciiTheme="minorHAnsi" w:hAnsiTheme="minorHAnsi" w:cs="Arial Unicode MS"/>
          <w:color w:val="231F20"/>
          <w:sz w:val="20"/>
          <w:szCs w:val="20"/>
        </w:rPr>
        <w:t>’s annual investment management fees for separately managed accounts and certain other client accounts, including private funds, vary depending on the investment strategy, product type and the size of a specific client account.  Fixed income products generally range up to .55% (55 basis points) of assets under management in the client account</w:t>
      </w:r>
      <w:r w:rsidR="0074066D" w:rsidRPr="00DB0F4E">
        <w:rPr>
          <w:rFonts w:asciiTheme="minorHAnsi" w:hAnsiTheme="minorHAnsi" w:cs="Arial Unicode MS"/>
          <w:color w:val="231F20"/>
          <w:sz w:val="20"/>
          <w:szCs w:val="20"/>
        </w:rPr>
        <w:t xml:space="preserve">.  </w:t>
      </w:r>
      <w:r w:rsidR="001D3802" w:rsidRPr="00DB0F4E">
        <w:rPr>
          <w:rFonts w:asciiTheme="minorHAnsi" w:hAnsiTheme="minorHAnsi" w:cs="Arial Unicode MS"/>
          <w:color w:val="231F20"/>
          <w:sz w:val="20"/>
          <w:szCs w:val="20"/>
        </w:rPr>
        <w:t>Our annual investment management fees for separately managed accounts and other client accounts are negotiable based upon the size of the account, relationship and/or the nature and level of services we provide. The fees are based upon the aggregate fair value of the client’s portfolio as defined in o</w:t>
      </w:r>
      <w:r w:rsidR="00C00BB3" w:rsidRPr="00DB0F4E">
        <w:rPr>
          <w:rFonts w:asciiTheme="minorHAnsi" w:hAnsiTheme="minorHAnsi" w:cs="Arial Unicode MS"/>
          <w:color w:val="231F20"/>
          <w:sz w:val="20"/>
          <w:szCs w:val="20"/>
        </w:rPr>
        <w:t>ur client Agreement</w:t>
      </w:r>
      <w:r w:rsidR="001D3802" w:rsidRPr="00DB0F4E">
        <w:rPr>
          <w:rFonts w:asciiTheme="minorHAnsi" w:hAnsiTheme="minorHAnsi" w:cs="Arial Unicode MS"/>
          <w:color w:val="231F20"/>
          <w:sz w:val="20"/>
          <w:szCs w:val="20"/>
        </w:rPr>
        <w:t>.</w:t>
      </w:r>
      <w:r w:rsidR="0074066D" w:rsidRPr="00DB0F4E">
        <w:rPr>
          <w:rFonts w:asciiTheme="minorHAnsi" w:hAnsiTheme="minorHAnsi" w:cs="Arial Unicode MS"/>
          <w:color w:val="231F20"/>
          <w:sz w:val="20"/>
          <w:szCs w:val="20"/>
        </w:rPr>
        <w:t xml:space="preserve">  Fees are assessed quarterly, and may be payable in advance or in arrears, </w:t>
      </w:r>
      <w:proofErr w:type="gramStart"/>
      <w:r w:rsidR="0074066D" w:rsidRPr="00DB0F4E">
        <w:rPr>
          <w:rFonts w:asciiTheme="minorHAnsi" w:hAnsiTheme="minorHAnsi" w:cs="Arial Unicode MS"/>
          <w:color w:val="231F20"/>
          <w:sz w:val="20"/>
          <w:szCs w:val="20"/>
        </w:rPr>
        <w:t>dependent</w:t>
      </w:r>
      <w:proofErr w:type="gramEnd"/>
      <w:r w:rsidR="0074066D" w:rsidRPr="00DB0F4E">
        <w:rPr>
          <w:rFonts w:asciiTheme="minorHAnsi" w:hAnsiTheme="minorHAnsi" w:cs="Arial Unicode MS"/>
          <w:color w:val="231F20"/>
          <w:sz w:val="20"/>
          <w:szCs w:val="20"/>
        </w:rPr>
        <w:t xml:space="preserve"> upon the relationship.  For clients managed through wrap platforms, additional fees charged by platform sponsors apply.</w:t>
      </w:r>
      <w:r w:rsidR="00FD5469" w:rsidRPr="00DB0F4E">
        <w:rPr>
          <w:rFonts w:asciiTheme="minorHAnsi" w:hAnsiTheme="minorHAnsi" w:cs="Arial Unicode MS"/>
          <w:color w:val="231F20"/>
          <w:sz w:val="20"/>
          <w:szCs w:val="20"/>
        </w:rPr>
        <w:t xml:space="preserve">  Such sponsor fees typically encompass fees for additional services, such as custody, and are separate from the fee charged by </w:t>
      </w:r>
      <w:r w:rsidR="00F502C7" w:rsidRPr="00DB0F4E">
        <w:rPr>
          <w:rFonts w:asciiTheme="minorHAnsi" w:hAnsiTheme="minorHAnsi" w:cs="Arial Unicode MS"/>
          <w:color w:val="231F20"/>
          <w:sz w:val="20"/>
          <w:szCs w:val="20"/>
        </w:rPr>
        <w:t>DSAM</w:t>
      </w:r>
      <w:r w:rsidR="00FD5469" w:rsidRPr="00DB0F4E">
        <w:rPr>
          <w:rFonts w:asciiTheme="minorHAnsi" w:hAnsiTheme="minorHAnsi" w:cs="Arial Unicode MS"/>
          <w:color w:val="231F20"/>
          <w:sz w:val="20"/>
          <w:szCs w:val="20"/>
        </w:rPr>
        <w:t>.</w:t>
      </w:r>
      <w:r w:rsidR="00EB17EE" w:rsidRPr="00DB0F4E">
        <w:rPr>
          <w:rFonts w:asciiTheme="minorHAnsi" w:hAnsiTheme="minorHAnsi" w:cs="Arial Unicode MS"/>
          <w:color w:val="231F20"/>
          <w:sz w:val="20"/>
          <w:szCs w:val="20"/>
        </w:rPr>
        <w:t xml:space="preserve"> Clients may also incur charges imposed by third parties such as investment management fees, custodial fees, deferred sales charges, odd-lot differentials, transfer taxes, wire transfer and electronic fund fees, transaction charges imposed by the broker-dealer executing securities transactions for the client’s account, other fees and taxes on brokerage accounts and securities transactions, and fees and expenses imposed directly by any funds held in or for the client’s account.  </w:t>
      </w:r>
    </w:p>
    <w:p w14:paraId="724C40CF" w14:textId="77777777" w:rsidR="0074066D" w:rsidRPr="00DB0F4E" w:rsidRDefault="0074066D" w:rsidP="001067EB">
      <w:pPr>
        <w:pStyle w:val="BodyText"/>
        <w:spacing w:before="182"/>
        <w:ind w:left="0" w:right="151"/>
        <w:rPr>
          <w:rFonts w:asciiTheme="minorHAnsi" w:hAnsiTheme="minorHAnsi" w:cs="Arial Unicode MS"/>
          <w:color w:val="231F20"/>
          <w:sz w:val="20"/>
          <w:szCs w:val="20"/>
        </w:rPr>
      </w:pPr>
      <w:r w:rsidRPr="00DB0F4E">
        <w:rPr>
          <w:rFonts w:asciiTheme="minorHAnsi" w:hAnsiTheme="minorHAnsi" w:cs="Arial Unicode MS"/>
          <w:color w:val="231F20"/>
          <w:sz w:val="20"/>
          <w:szCs w:val="20"/>
        </w:rPr>
        <w:t xml:space="preserve">We currently manage accounts that pay a performance fee.  Conflicts of interest arise from our management of both performance fee-based accounts and non-performance based fee accounts in that there is an incentive to allocate limited investment opportunities to clients that pay higher fees or take greater risk </w:t>
      </w:r>
      <w:proofErr w:type="gramStart"/>
      <w:r w:rsidRPr="00DB0F4E">
        <w:rPr>
          <w:rFonts w:asciiTheme="minorHAnsi" w:hAnsiTheme="minorHAnsi" w:cs="Arial Unicode MS"/>
          <w:color w:val="231F20"/>
          <w:sz w:val="20"/>
          <w:szCs w:val="20"/>
        </w:rPr>
        <w:t>in an attempt to</w:t>
      </w:r>
      <w:proofErr w:type="gramEnd"/>
      <w:r w:rsidRPr="00DB0F4E">
        <w:rPr>
          <w:rFonts w:asciiTheme="minorHAnsi" w:hAnsiTheme="minorHAnsi" w:cs="Arial Unicode MS"/>
          <w:color w:val="231F20"/>
          <w:sz w:val="20"/>
          <w:szCs w:val="20"/>
        </w:rPr>
        <w:t xml:space="preserve"> generate higher returns.</w:t>
      </w:r>
      <w:r w:rsidR="00BD0220" w:rsidRPr="00DB0F4E">
        <w:rPr>
          <w:rFonts w:asciiTheme="minorHAnsi" w:hAnsiTheme="minorHAnsi" w:cs="Arial Unicode MS"/>
          <w:color w:val="231F20"/>
          <w:sz w:val="20"/>
          <w:szCs w:val="20"/>
        </w:rPr>
        <w:t xml:space="preserve"> </w:t>
      </w:r>
      <w:r w:rsidRPr="00DB0F4E">
        <w:rPr>
          <w:rFonts w:asciiTheme="minorHAnsi" w:hAnsiTheme="minorHAnsi" w:cs="Arial Unicode MS"/>
          <w:color w:val="231F20"/>
          <w:sz w:val="20"/>
          <w:szCs w:val="20"/>
        </w:rPr>
        <w:t>We have adopted order aggregation and trade allocation policies and procedures designed to treat all clients fairly and equitably, and to prevent these conflicts from influencing the allocation of investment opportunities among clients.  During periods of unusual market conditions, we may deviate from our normal trade allocation practices.</w:t>
      </w:r>
      <w:r w:rsidRPr="00DB0F4E">
        <w:rPr>
          <w:rFonts w:cs="Arial Unicode MS"/>
          <w:color w:val="231F20"/>
          <w:sz w:val="20"/>
          <w:szCs w:val="20"/>
        </w:rPr>
        <w:t xml:space="preserve"> </w:t>
      </w:r>
    </w:p>
    <w:p w14:paraId="725F27A7" w14:textId="77777777" w:rsidR="000B5E09" w:rsidRPr="00A55548" w:rsidRDefault="000B5E09">
      <w:pPr>
        <w:spacing w:before="5"/>
        <w:rPr>
          <w:rFonts w:ascii="Arial Unicode MS" w:eastAsia="Arial Unicode MS" w:hAnsi="Arial Unicode MS" w:cs="Arial Unicode MS"/>
          <w:sz w:val="20"/>
          <w:szCs w:val="20"/>
        </w:rPr>
      </w:pPr>
    </w:p>
    <w:p w14:paraId="47812595" w14:textId="77777777" w:rsidR="000B5E09" w:rsidRPr="00BC6FAD" w:rsidRDefault="00FB1216" w:rsidP="001067EB">
      <w:pPr>
        <w:spacing w:line="256" w:lineRule="auto"/>
        <w:ind w:right="225"/>
        <w:rPr>
          <w:rFonts w:ascii="Calibri"/>
          <w:b/>
          <w:bCs/>
          <w:i/>
          <w:color w:val="0F243E" w:themeColor="text2" w:themeShade="80"/>
          <w:spacing w:val="-31"/>
          <w:w w:val="105"/>
        </w:rPr>
      </w:pPr>
      <w:r w:rsidRPr="00BC6FAD">
        <w:rPr>
          <w:rFonts w:ascii="Calibri"/>
          <w:b/>
          <w:bCs/>
          <w:i/>
          <w:color w:val="0F243E" w:themeColor="text2" w:themeShade="80"/>
          <w:w w:val="105"/>
        </w:rPr>
        <w:t>You</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will</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pay</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fees</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and</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costs</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whether</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you</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make</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or</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lose</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money</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on</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your</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investments.</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Fees</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and</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costs</w:t>
      </w:r>
      <w:r w:rsidRPr="00BC6FAD">
        <w:rPr>
          <w:rFonts w:ascii="Calibri"/>
          <w:b/>
          <w:bCs/>
          <w:i/>
          <w:color w:val="0F243E" w:themeColor="text2" w:themeShade="80"/>
          <w:spacing w:val="3"/>
          <w:w w:val="105"/>
        </w:rPr>
        <w:t xml:space="preserve"> </w:t>
      </w:r>
      <w:r w:rsidRPr="00BC6FAD">
        <w:rPr>
          <w:rFonts w:ascii="Calibri"/>
          <w:b/>
          <w:bCs/>
          <w:i/>
          <w:color w:val="0F243E" w:themeColor="text2" w:themeShade="80"/>
          <w:w w:val="105"/>
        </w:rPr>
        <w:t>will</w:t>
      </w:r>
      <w:r w:rsidRPr="00BC6FAD">
        <w:rPr>
          <w:rFonts w:ascii="Calibri"/>
          <w:b/>
          <w:bCs/>
          <w:i/>
          <w:color w:val="0F243E" w:themeColor="text2" w:themeShade="80"/>
          <w:spacing w:val="-31"/>
          <w:w w:val="105"/>
        </w:rPr>
        <w:t xml:space="preserve"> </w:t>
      </w:r>
      <w:r w:rsidRPr="00BC6FAD">
        <w:rPr>
          <w:rFonts w:ascii="Calibri"/>
          <w:b/>
          <w:bCs/>
          <w:i/>
          <w:color w:val="0F243E" w:themeColor="text2" w:themeShade="80"/>
          <w:w w:val="105"/>
        </w:rPr>
        <w:t>reduce any amount of money you make on your investments over time. Please make sure you</w:t>
      </w:r>
      <w:r w:rsidRPr="00BC6FAD">
        <w:rPr>
          <w:rFonts w:ascii="Calibri"/>
          <w:b/>
          <w:bCs/>
          <w:i/>
          <w:color w:val="0F243E" w:themeColor="text2" w:themeShade="80"/>
          <w:spacing w:val="-32"/>
          <w:w w:val="105"/>
        </w:rPr>
        <w:t xml:space="preserve"> </w:t>
      </w:r>
      <w:r w:rsidRPr="00BC6FAD">
        <w:rPr>
          <w:rFonts w:ascii="Calibri"/>
          <w:b/>
          <w:bCs/>
          <w:i/>
          <w:color w:val="0F243E" w:themeColor="text2" w:themeShade="80"/>
          <w:w w:val="105"/>
        </w:rPr>
        <w:t>understand</w:t>
      </w:r>
      <w:r w:rsidRPr="00BC6FAD">
        <w:rPr>
          <w:rFonts w:ascii="Calibri"/>
          <w:b/>
          <w:bCs/>
          <w:i/>
          <w:color w:val="0F243E" w:themeColor="text2" w:themeShade="80"/>
          <w:w w:val="104"/>
        </w:rPr>
        <w:t xml:space="preserve"> </w:t>
      </w:r>
      <w:r w:rsidRPr="00BC6FAD">
        <w:rPr>
          <w:rFonts w:ascii="Calibri"/>
          <w:b/>
          <w:bCs/>
          <w:i/>
          <w:color w:val="0F243E" w:themeColor="text2" w:themeShade="80"/>
          <w:w w:val="105"/>
        </w:rPr>
        <w:t>what fees and costs you are paying.</w:t>
      </w:r>
      <w:r w:rsidRPr="00BC6FAD">
        <w:rPr>
          <w:rFonts w:ascii="Calibri"/>
          <w:b/>
          <w:bCs/>
          <w:i/>
          <w:color w:val="0F243E" w:themeColor="text2" w:themeShade="80"/>
          <w:spacing w:val="-31"/>
          <w:w w:val="105"/>
        </w:rPr>
        <w:t xml:space="preserve"> </w:t>
      </w:r>
    </w:p>
    <w:p w14:paraId="408B9EF8" w14:textId="77777777" w:rsidR="001067EB" w:rsidRPr="00DB0F4E" w:rsidRDefault="001067EB">
      <w:pPr>
        <w:spacing w:line="256" w:lineRule="auto"/>
        <w:ind w:left="106" w:right="225"/>
        <w:rPr>
          <w:rFonts w:ascii="Calibri" w:hAnsi="Calibri" w:cs="Arial Unicode MS"/>
          <w:color w:val="231F20"/>
          <w:sz w:val="20"/>
          <w:szCs w:val="20"/>
        </w:rPr>
      </w:pPr>
    </w:p>
    <w:p w14:paraId="475E61C4" w14:textId="3A5C48F1" w:rsidR="001067EB" w:rsidRPr="000C112B" w:rsidRDefault="001067EB" w:rsidP="001067EB">
      <w:pPr>
        <w:spacing w:line="256" w:lineRule="auto"/>
        <w:ind w:right="225"/>
        <w:rPr>
          <w:rFonts w:ascii="Calibri"/>
          <w:i/>
          <w:color w:val="D2232A"/>
          <w:spacing w:val="-31"/>
          <w:w w:val="105"/>
          <w:sz w:val="20"/>
          <w:szCs w:val="20"/>
        </w:rPr>
      </w:pPr>
      <w:r w:rsidRPr="000C112B">
        <w:rPr>
          <w:rFonts w:ascii="Calibri" w:hAnsi="Calibri" w:cs="Arial Unicode MS"/>
          <w:color w:val="231F20"/>
          <w:sz w:val="20"/>
          <w:szCs w:val="20"/>
        </w:rPr>
        <w:t xml:space="preserve">Additional information and disclosures pertaining to </w:t>
      </w:r>
      <w:r w:rsidR="00F502C7" w:rsidRPr="000C112B">
        <w:rPr>
          <w:rFonts w:ascii="Calibri" w:hAnsi="Calibri" w:cs="Arial Unicode MS"/>
          <w:color w:val="231F20"/>
          <w:sz w:val="20"/>
          <w:szCs w:val="20"/>
        </w:rPr>
        <w:t>DSAM</w:t>
      </w:r>
      <w:r w:rsidRPr="000C112B">
        <w:rPr>
          <w:rFonts w:ascii="Calibri" w:hAnsi="Calibri" w:cs="Arial Unicode MS"/>
          <w:color w:val="231F20"/>
          <w:sz w:val="20"/>
          <w:szCs w:val="20"/>
        </w:rPr>
        <w:t xml:space="preserve"> are available through the Investment Adviser Public Disclosure site </w:t>
      </w:r>
      <w:hyperlink r:id="rId14" w:history="1">
        <w:r w:rsidRPr="00BC6FAD">
          <w:rPr>
            <w:rStyle w:val="Hyperlink"/>
            <w:rFonts w:cs="Arial Unicode MS"/>
            <w:b/>
            <w:bCs/>
            <w:color w:val="0F243E" w:themeColor="text2" w:themeShade="80"/>
          </w:rPr>
          <w:t>https://adviserinfo.sec.gov/</w:t>
        </w:r>
      </w:hyperlink>
      <w:r w:rsidRPr="000C112B">
        <w:rPr>
          <w:rFonts w:ascii="Calibri" w:hAnsi="Calibri" w:cs="Arial Unicode MS"/>
          <w:color w:val="231F20"/>
          <w:sz w:val="20"/>
          <w:szCs w:val="20"/>
        </w:rPr>
        <w:t xml:space="preserve">, through a request for the adviser’s ADV 2A to </w:t>
      </w:r>
      <w:hyperlink r:id="rId15" w:history="1">
        <w:r w:rsidR="004E5601" w:rsidRPr="00BC6FAD">
          <w:rPr>
            <w:rFonts w:cstheme="minorHAnsi"/>
            <w:b/>
            <w:bCs/>
            <w:color w:val="0F243E" w:themeColor="text2" w:themeShade="80"/>
            <w:u w:val="single"/>
          </w:rPr>
          <w:t>clientrelations@ducentasquared.com</w:t>
        </w:r>
      </w:hyperlink>
      <w:r w:rsidRPr="000C112B">
        <w:rPr>
          <w:rFonts w:ascii="Calibri" w:hAnsi="Calibri" w:cs="Arial Unicode MS"/>
          <w:color w:val="231F20"/>
          <w:sz w:val="20"/>
          <w:szCs w:val="20"/>
        </w:rPr>
        <w:t xml:space="preserve">, or by clicking </w:t>
      </w:r>
      <w:hyperlink r:id="rId16" w:history="1">
        <w:hyperlink r:id="rId17" w:history="1">
          <w:r w:rsidR="000E7826" w:rsidRPr="00BC6FAD">
            <w:rPr>
              <w:rStyle w:val="Hyperlink"/>
              <w:b/>
              <w:bCs/>
              <w:color w:val="0F243E" w:themeColor="text2" w:themeShade="80"/>
            </w:rPr>
            <w:t>here</w:t>
          </w:r>
          <w:r w:rsidR="000E7826" w:rsidRPr="000C112B">
            <w:rPr>
              <w:rFonts w:ascii="Calibri" w:hAnsi="Calibri" w:cs="Arial Unicode MS"/>
              <w:color w:val="231F20"/>
              <w:sz w:val="20"/>
              <w:szCs w:val="20"/>
            </w:rPr>
            <w:t>.</w:t>
          </w:r>
        </w:hyperlink>
      </w:hyperlink>
    </w:p>
    <w:p w14:paraId="0AD97599" w14:textId="2152DB6F" w:rsidR="00496415" w:rsidRPr="00A55548" w:rsidRDefault="00496415" w:rsidP="00313E70">
      <w:pPr>
        <w:pStyle w:val="BodyText"/>
        <w:numPr>
          <w:ilvl w:val="0"/>
          <w:numId w:val="8"/>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 xml:space="preserve">Help me understand how these fees and costs might affect my investments. If I give you $10,000 to invest, how much will go to fees and costs, and how much will be invested for me? </w:t>
      </w:r>
    </w:p>
    <w:p w14:paraId="1A46DF2B" w14:textId="0862F09D" w:rsidR="00BD0220" w:rsidRPr="00A55548" w:rsidRDefault="00FB1216" w:rsidP="00AB1B89">
      <w:pPr>
        <w:pStyle w:val="Heading1"/>
        <w:ind w:left="0" w:right="614"/>
        <w:rPr>
          <w:rFonts w:ascii="Calibri"/>
          <w:b w:val="0"/>
          <w:i w:val="0"/>
          <w:color w:val="D2232A"/>
          <w:w w:val="105"/>
          <w:sz w:val="20"/>
          <w:szCs w:val="20"/>
        </w:rPr>
      </w:pPr>
      <w:r w:rsidRPr="00A55548">
        <w:rPr>
          <w:w w:val="110"/>
          <w:sz w:val="22"/>
          <w:szCs w:val="22"/>
        </w:rPr>
        <w:t>What are your legal obligations to me when acting as my investment adviser? How else does your firm make money and what conflicts of interest do you have?</w:t>
      </w:r>
      <w:r w:rsidRPr="00A55548">
        <w:rPr>
          <w:w w:val="110"/>
          <w:sz w:val="20"/>
          <w:szCs w:val="20"/>
        </w:rPr>
        <w:t xml:space="preserve"> </w:t>
      </w:r>
    </w:p>
    <w:p w14:paraId="036E204A" w14:textId="77777777" w:rsidR="00476ED2" w:rsidRDefault="00476ED2" w:rsidP="00BD0220">
      <w:pPr>
        <w:spacing w:line="260" w:lineRule="exact"/>
        <w:ind w:right="165"/>
        <w:rPr>
          <w:rFonts w:ascii="Calibri"/>
          <w:bCs/>
          <w:i/>
          <w:color w:val="0F243E" w:themeColor="text2" w:themeShade="80"/>
          <w:w w:val="105"/>
        </w:rPr>
      </w:pPr>
    </w:p>
    <w:p w14:paraId="2BEC409A" w14:textId="63710F8B" w:rsidR="000B5E09" w:rsidRPr="00A55548" w:rsidRDefault="00FB1216" w:rsidP="00BD0220">
      <w:pPr>
        <w:spacing w:line="260" w:lineRule="exact"/>
        <w:ind w:right="165"/>
        <w:rPr>
          <w:rFonts w:eastAsia="Arial Unicode MS" w:cs="Arial Unicode MS"/>
          <w:color w:val="0F243E" w:themeColor="text2" w:themeShade="80"/>
        </w:rPr>
      </w:pPr>
      <w:r w:rsidRPr="00476ED2">
        <w:rPr>
          <w:rFonts w:ascii="Calibri"/>
          <w:bCs/>
          <w:i/>
          <w:color w:val="0F243E" w:themeColor="text2" w:themeShade="80"/>
          <w:w w:val="105"/>
        </w:rPr>
        <w:t>When we act as your investment adviser,</w:t>
      </w:r>
      <w:r w:rsidRPr="00476ED2">
        <w:rPr>
          <w:bCs/>
          <w:i/>
          <w:color w:val="0F243E" w:themeColor="text2" w:themeShade="80"/>
          <w:w w:val="105"/>
        </w:rPr>
        <w:t xml:space="preserve"> </w:t>
      </w:r>
      <w:r w:rsidRPr="00A55548">
        <w:rPr>
          <w:rFonts w:ascii="Calibri"/>
          <w:i/>
          <w:color w:val="0F243E" w:themeColor="text2" w:themeShade="80"/>
          <w:w w:val="105"/>
        </w:rPr>
        <w:t xml:space="preserve">we have to act in your best interest and not put our interest ahead of yours. At the same time, the way we make money creates some conflicts with </w:t>
      </w:r>
      <w:proofErr w:type="gramStart"/>
      <w:r w:rsidRPr="00A55548">
        <w:rPr>
          <w:rFonts w:ascii="Calibri"/>
          <w:i/>
          <w:color w:val="0F243E" w:themeColor="text2" w:themeShade="80"/>
          <w:w w:val="105"/>
        </w:rPr>
        <w:t>your</w:t>
      </w:r>
      <w:proofErr w:type="gramEnd"/>
      <w:r w:rsidRPr="00A55548">
        <w:rPr>
          <w:rFonts w:ascii="Calibri"/>
          <w:i/>
          <w:color w:val="0F243E" w:themeColor="text2" w:themeShade="80"/>
          <w:w w:val="105"/>
        </w:rPr>
        <w:t xml:space="preserve"> interests. You should understand and ask us about these conflicts because they can affect the investment </w:t>
      </w:r>
      <w:proofErr w:type="gramStart"/>
      <w:r w:rsidRPr="00A55548">
        <w:rPr>
          <w:rFonts w:ascii="Calibri"/>
          <w:i/>
          <w:color w:val="0F243E" w:themeColor="text2" w:themeShade="80"/>
          <w:w w:val="105"/>
        </w:rPr>
        <w:t>advice</w:t>
      </w:r>
      <w:proofErr w:type="gramEnd"/>
      <w:r w:rsidRPr="00A55548">
        <w:rPr>
          <w:rFonts w:ascii="Calibri"/>
          <w:i/>
          <w:color w:val="0F243E" w:themeColor="text2" w:themeShade="80"/>
          <w:w w:val="105"/>
        </w:rPr>
        <w:t xml:space="preserve"> we provide you. Here are some examples to help you understand what this means</w:t>
      </w:r>
      <w:r w:rsidRPr="00A55548">
        <w:rPr>
          <w:i/>
          <w:color w:val="0F243E" w:themeColor="text2" w:themeShade="80"/>
          <w:w w:val="105"/>
        </w:rPr>
        <w:t>.</w:t>
      </w:r>
    </w:p>
    <w:p w14:paraId="21770E77" w14:textId="77777777" w:rsidR="000B5E09" w:rsidRPr="00A55548" w:rsidRDefault="000B5E09" w:rsidP="001067EB">
      <w:pPr>
        <w:spacing w:before="4"/>
        <w:rPr>
          <w:rFonts w:ascii="Arial Unicode MS" w:eastAsia="Arial Unicode MS" w:hAnsi="Arial Unicode MS" w:cs="Arial Unicode MS"/>
          <w:sz w:val="20"/>
          <w:szCs w:val="20"/>
        </w:rPr>
      </w:pPr>
    </w:p>
    <w:p w14:paraId="2032FE65" w14:textId="16BD9FD4" w:rsidR="002E14E5" w:rsidRPr="000C112B" w:rsidRDefault="00F502C7" w:rsidP="00AB1B89">
      <w:pPr>
        <w:spacing w:line="256" w:lineRule="auto"/>
        <w:ind w:right="225"/>
        <w:rPr>
          <w:rFonts w:cs="Arial Unicode MS"/>
          <w:color w:val="231F20"/>
          <w:sz w:val="20"/>
          <w:szCs w:val="20"/>
        </w:rPr>
      </w:pPr>
      <w:r w:rsidRPr="000C112B">
        <w:rPr>
          <w:rFonts w:cs="Arial Unicode MS"/>
          <w:color w:val="231F20"/>
          <w:sz w:val="20"/>
          <w:szCs w:val="20"/>
        </w:rPr>
        <w:t>DSAM</w:t>
      </w:r>
      <w:r w:rsidR="002E14E5" w:rsidRPr="000C112B">
        <w:rPr>
          <w:rFonts w:cs="Arial Unicode MS"/>
          <w:color w:val="231F20"/>
          <w:sz w:val="20"/>
          <w:szCs w:val="20"/>
        </w:rPr>
        <w:t xml:space="preserve"> has a conflict of interest regarding advice given on adding new assets or transferring assets into accounts managed by our firm in that we receive compensation based upon the total value of assets in your account.  Please also note the above disclosure pertaining to side-by-side management of asset based fee accounts and performance based fee accounts.</w:t>
      </w:r>
      <w:r w:rsidR="001067EB" w:rsidRPr="000C112B">
        <w:rPr>
          <w:rFonts w:ascii="Calibri" w:hAnsi="Calibri" w:cs="Arial Unicode MS"/>
          <w:color w:val="231F20"/>
          <w:sz w:val="20"/>
          <w:szCs w:val="20"/>
        </w:rPr>
        <w:t xml:space="preserve">  </w:t>
      </w:r>
      <w:r w:rsidR="00AB1B89" w:rsidRPr="000C112B">
        <w:rPr>
          <w:rFonts w:ascii="Calibri" w:hAnsi="Calibri" w:cs="Arial Unicode MS"/>
          <w:color w:val="231F20"/>
          <w:sz w:val="20"/>
          <w:szCs w:val="20"/>
        </w:rPr>
        <w:t>Principals of DSAM have an interest in a proprietary account managed by a related person.  The proprietary account is currently limited to investments in</w:t>
      </w:r>
      <w:r w:rsidR="00F864C3" w:rsidRPr="000C112B">
        <w:rPr>
          <w:rFonts w:ascii="Calibri" w:hAnsi="Calibri" w:cs="Arial Unicode MS"/>
          <w:color w:val="231F20"/>
          <w:sz w:val="20"/>
          <w:szCs w:val="20"/>
        </w:rPr>
        <w:t xml:space="preserve"> </w:t>
      </w:r>
      <w:r w:rsidR="00AB1B89" w:rsidRPr="000C112B">
        <w:rPr>
          <w:rFonts w:ascii="Calibri" w:hAnsi="Calibri" w:cs="Arial Unicode MS"/>
          <w:color w:val="231F20"/>
          <w:sz w:val="20"/>
          <w:szCs w:val="20"/>
        </w:rPr>
        <w:t xml:space="preserve">securities issued by the United States Treasury and Agency Mortgage Backed Securities.  While these markets have significant breadth, the potential exists that we may buy and sell securities of issuers for client portfolios in which other related </w:t>
      </w:r>
      <w:proofErr w:type="gramStart"/>
      <w:r w:rsidR="00AB1B89" w:rsidRPr="000C112B">
        <w:rPr>
          <w:rFonts w:ascii="Calibri" w:hAnsi="Calibri" w:cs="Arial Unicode MS"/>
          <w:color w:val="231F20"/>
          <w:sz w:val="20"/>
          <w:szCs w:val="20"/>
        </w:rPr>
        <w:t>persons</w:t>
      </w:r>
      <w:proofErr w:type="gramEnd"/>
      <w:r w:rsidR="00AB1B89" w:rsidRPr="000C112B">
        <w:rPr>
          <w:rFonts w:ascii="Calibri" w:hAnsi="Calibri" w:cs="Arial Unicode MS"/>
          <w:color w:val="231F20"/>
          <w:sz w:val="20"/>
          <w:szCs w:val="20"/>
        </w:rPr>
        <w:t xml:space="preserve"> or our proprietary accounts may also invest.  </w:t>
      </w:r>
      <w:r w:rsidR="001067EB" w:rsidRPr="000C112B">
        <w:rPr>
          <w:rFonts w:ascii="Calibri" w:hAnsi="Calibri" w:cs="Arial Unicode MS"/>
          <w:color w:val="231F20"/>
          <w:sz w:val="20"/>
          <w:szCs w:val="20"/>
        </w:rPr>
        <w:t xml:space="preserve">Additional information and disclosures pertaining to </w:t>
      </w:r>
      <w:r w:rsidRPr="000C112B">
        <w:rPr>
          <w:rFonts w:ascii="Calibri" w:hAnsi="Calibri" w:cs="Arial Unicode MS"/>
          <w:color w:val="231F20"/>
          <w:sz w:val="20"/>
          <w:szCs w:val="20"/>
        </w:rPr>
        <w:t>DSAM</w:t>
      </w:r>
      <w:r w:rsidR="001067EB" w:rsidRPr="000C112B">
        <w:rPr>
          <w:rFonts w:ascii="Calibri" w:hAnsi="Calibri" w:cs="Arial Unicode MS"/>
          <w:color w:val="231F20"/>
          <w:sz w:val="20"/>
          <w:szCs w:val="20"/>
        </w:rPr>
        <w:t xml:space="preserve"> are available through the Investment Adviser Public Disclosure site </w:t>
      </w:r>
      <w:hyperlink r:id="rId18" w:history="1">
        <w:r w:rsidR="001067EB" w:rsidRPr="00DE6558">
          <w:rPr>
            <w:rStyle w:val="Hyperlink"/>
            <w:rFonts w:cs="Arial Unicode MS"/>
            <w:b/>
            <w:bCs/>
            <w:color w:val="0F243E" w:themeColor="text2" w:themeShade="80"/>
          </w:rPr>
          <w:t>https://adviserinfo.sec.gov/</w:t>
        </w:r>
      </w:hyperlink>
      <w:r w:rsidR="001067EB" w:rsidRPr="000C112B">
        <w:rPr>
          <w:rFonts w:ascii="Calibri" w:hAnsi="Calibri" w:cs="Arial Unicode MS"/>
          <w:color w:val="231F20"/>
          <w:sz w:val="20"/>
          <w:szCs w:val="20"/>
        </w:rPr>
        <w:t xml:space="preserve">, through a request for the adviser’s ADV 2A to </w:t>
      </w:r>
      <w:hyperlink r:id="rId19" w:history="1">
        <w:r w:rsidR="00CB1568" w:rsidRPr="00DE6558">
          <w:rPr>
            <w:rFonts w:cstheme="minorHAnsi"/>
            <w:b/>
            <w:bCs/>
            <w:color w:val="0F243E" w:themeColor="text2" w:themeShade="80"/>
            <w:u w:val="single"/>
          </w:rPr>
          <w:t>clientrelations@ducentasquared.com</w:t>
        </w:r>
      </w:hyperlink>
      <w:r w:rsidR="001067EB" w:rsidRPr="000C112B">
        <w:rPr>
          <w:rFonts w:ascii="Calibri" w:hAnsi="Calibri" w:cs="Arial Unicode MS"/>
          <w:color w:val="231F20"/>
          <w:sz w:val="20"/>
          <w:szCs w:val="20"/>
        </w:rPr>
        <w:t xml:space="preserve">, or by clicking </w:t>
      </w:r>
      <w:hyperlink r:id="rId20" w:history="1">
        <w:r w:rsidR="000E7826" w:rsidRPr="00DE6558">
          <w:rPr>
            <w:rStyle w:val="Hyperlink"/>
            <w:b/>
            <w:bCs/>
            <w:color w:val="0F243E" w:themeColor="text2" w:themeShade="80"/>
          </w:rPr>
          <w:t>here</w:t>
        </w:r>
        <w:r w:rsidR="000E7826" w:rsidRPr="000C112B">
          <w:rPr>
            <w:rFonts w:ascii="Calibri" w:hAnsi="Calibri" w:cs="Arial Unicode MS"/>
            <w:color w:val="231F20"/>
            <w:sz w:val="20"/>
            <w:szCs w:val="20"/>
          </w:rPr>
          <w:t>.</w:t>
        </w:r>
      </w:hyperlink>
    </w:p>
    <w:p w14:paraId="5F5633D8" w14:textId="5D94B7B2" w:rsidR="00496415" w:rsidRPr="00A55548" w:rsidRDefault="00496415" w:rsidP="00313E70">
      <w:pPr>
        <w:pStyle w:val="BodyText"/>
        <w:numPr>
          <w:ilvl w:val="0"/>
          <w:numId w:val="7"/>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How might your conflicts of interest affect me, and how will you address them?</w:t>
      </w:r>
    </w:p>
    <w:p w14:paraId="090FC66E" w14:textId="77777777" w:rsidR="000B5E09" w:rsidRPr="00A55548" w:rsidRDefault="00FB1216" w:rsidP="001067EB">
      <w:pPr>
        <w:pStyle w:val="Heading1"/>
        <w:spacing w:before="60"/>
        <w:ind w:left="0" w:right="165"/>
        <w:rPr>
          <w:rFonts w:ascii="Arial Unicode MS" w:eastAsia="Arial Unicode MS" w:hAnsi="Arial Unicode MS" w:cs="Arial Unicode MS"/>
          <w:b w:val="0"/>
          <w:bCs w:val="0"/>
          <w:i w:val="0"/>
          <w:sz w:val="22"/>
          <w:szCs w:val="22"/>
        </w:rPr>
      </w:pPr>
      <w:r w:rsidRPr="00A55548">
        <w:rPr>
          <w:w w:val="110"/>
          <w:sz w:val="22"/>
          <w:szCs w:val="22"/>
        </w:rPr>
        <w:t>How</w:t>
      </w:r>
      <w:r w:rsidRPr="00A55548">
        <w:rPr>
          <w:spacing w:val="-28"/>
          <w:w w:val="110"/>
          <w:sz w:val="22"/>
          <w:szCs w:val="22"/>
        </w:rPr>
        <w:t xml:space="preserve"> </w:t>
      </w:r>
      <w:r w:rsidRPr="00A55548">
        <w:rPr>
          <w:w w:val="110"/>
          <w:sz w:val="22"/>
          <w:szCs w:val="22"/>
        </w:rPr>
        <w:t>do</w:t>
      </w:r>
      <w:r w:rsidRPr="00A55548">
        <w:rPr>
          <w:spacing w:val="-28"/>
          <w:w w:val="110"/>
          <w:sz w:val="22"/>
          <w:szCs w:val="22"/>
        </w:rPr>
        <w:t xml:space="preserve"> </w:t>
      </w:r>
      <w:r w:rsidRPr="00A55548">
        <w:rPr>
          <w:w w:val="110"/>
          <w:sz w:val="22"/>
          <w:szCs w:val="22"/>
        </w:rPr>
        <w:t>your</w:t>
      </w:r>
      <w:r w:rsidRPr="00A55548">
        <w:rPr>
          <w:spacing w:val="-28"/>
          <w:w w:val="110"/>
          <w:sz w:val="22"/>
          <w:szCs w:val="22"/>
        </w:rPr>
        <w:t xml:space="preserve"> </w:t>
      </w:r>
      <w:r w:rsidRPr="00A55548">
        <w:rPr>
          <w:w w:val="110"/>
          <w:sz w:val="22"/>
          <w:szCs w:val="22"/>
        </w:rPr>
        <w:t>financial</w:t>
      </w:r>
      <w:r w:rsidRPr="00A55548">
        <w:rPr>
          <w:spacing w:val="-28"/>
          <w:w w:val="110"/>
          <w:sz w:val="22"/>
          <w:szCs w:val="22"/>
        </w:rPr>
        <w:t xml:space="preserve"> </w:t>
      </w:r>
      <w:r w:rsidRPr="00A55548">
        <w:rPr>
          <w:w w:val="110"/>
          <w:sz w:val="22"/>
          <w:szCs w:val="22"/>
        </w:rPr>
        <w:t>professionals</w:t>
      </w:r>
      <w:r w:rsidRPr="00A55548">
        <w:rPr>
          <w:spacing w:val="-28"/>
          <w:w w:val="110"/>
          <w:sz w:val="22"/>
          <w:szCs w:val="22"/>
        </w:rPr>
        <w:t xml:space="preserve"> </w:t>
      </w:r>
      <w:r w:rsidRPr="00A55548">
        <w:rPr>
          <w:w w:val="110"/>
          <w:sz w:val="22"/>
          <w:szCs w:val="22"/>
        </w:rPr>
        <w:t>make</w:t>
      </w:r>
      <w:r w:rsidRPr="00A55548">
        <w:rPr>
          <w:spacing w:val="-28"/>
          <w:w w:val="110"/>
          <w:sz w:val="22"/>
          <w:szCs w:val="22"/>
        </w:rPr>
        <w:t xml:space="preserve"> </w:t>
      </w:r>
      <w:r w:rsidRPr="00A55548">
        <w:rPr>
          <w:w w:val="110"/>
          <w:sz w:val="22"/>
          <w:szCs w:val="22"/>
        </w:rPr>
        <w:t>money?</w:t>
      </w:r>
    </w:p>
    <w:p w14:paraId="3D3C1F16" w14:textId="77777777" w:rsidR="00FF30BE" w:rsidRPr="00DB0F4E" w:rsidRDefault="00F502C7" w:rsidP="00BD0220">
      <w:pPr>
        <w:pStyle w:val="BodyText"/>
        <w:ind w:left="0" w:right="20"/>
        <w:rPr>
          <w:rFonts w:asciiTheme="minorHAnsi" w:hAnsiTheme="minorHAnsi"/>
          <w:color w:val="231F20"/>
          <w:sz w:val="20"/>
          <w:szCs w:val="20"/>
        </w:rPr>
      </w:pPr>
      <w:r w:rsidRPr="00DB0F4E">
        <w:rPr>
          <w:rFonts w:asciiTheme="minorHAnsi" w:hAnsiTheme="minorHAnsi"/>
          <w:color w:val="231F20"/>
          <w:sz w:val="20"/>
          <w:szCs w:val="20"/>
        </w:rPr>
        <w:t>DSAM</w:t>
      </w:r>
      <w:r w:rsidR="00FF30BE" w:rsidRPr="00DB0F4E">
        <w:rPr>
          <w:rFonts w:asciiTheme="minorHAnsi" w:hAnsiTheme="minorHAnsi"/>
          <w:color w:val="231F20"/>
          <w:sz w:val="20"/>
          <w:szCs w:val="20"/>
        </w:rPr>
        <w:t xml:space="preserve">’s key personnel, including all portfolio managers, have entered into employment agreements with </w:t>
      </w:r>
      <w:r w:rsidR="00986200" w:rsidRPr="00DB0F4E">
        <w:rPr>
          <w:rFonts w:asciiTheme="minorHAnsi" w:hAnsiTheme="minorHAnsi"/>
          <w:color w:val="231F20"/>
          <w:sz w:val="20"/>
          <w:szCs w:val="20"/>
        </w:rPr>
        <w:t>DSAM</w:t>
      </w:r>
      <w:r w:rsidR="00FF30BE" w:rsidRPr="00DB0F4E">
        <w:rPr>
          <w:rFonts w:asciiTheme="minorHAnsi" w:hAnsiTheme="minorHAnsi"/>
          <w:color w:val="231F20"/>
          <w:sz w:val="20"/>
          <w:szCs w:val="20"/>
        </w:rPr>
        <w:t xml:space="preserve">.  They are also eligible for an annual cash bonus based on several factors, including the Firm’s overall profitability. Additional benefits received by </w:t>
      </w:r>
      <w:r w:rsidRPr="00DB0F4E">
        <w:rPr>
          <w:rFonts w:asciiTheme="minorHAnsi" w:hAnsiTheme="minorHAnsi"/>
          <w:color w:val="231F20"/>
          <w:sz w:val="20"/>
          <w:szCs w:val="20"/>
        </w:rPr>
        <w:t>DSAM</w:t>
      </w:r>
      <w:r w:rsidR="00FF30BE" w:rsidRPr="00DB0F4E">
        <w:rPr>
          <w:rFonts w:asciiTheme="minorHAnsi" w:hAnsiTheme="minorHAnsi"/>
          <w:color w:val="231F20"/>
          <w:sz w:val="20"/>
          <w:szCs w:val="20"/>
        </w:rPr>
        <w:t xml:space="preserve">’s key personnel are normal and customary employee benefits generally available to all salaried employees.  Each of </w:t>
      </w:r>
      <w:r w:rsidRPr="00DB0F4E">
        <w:rPr>
          <w:rFonts w:asciiTheme="minorHAnsi" w:hAnsiTheme="minorHAnsi"/>
          <w:color w:val="231F20"/>
          <w:sz w:val="20"/>
          <w:szCs w:val="20"/>
        </w:rPr>
        <w:t>DSAM</w:t>
      </w:r>
      <w:r w:rsidR="00FF30BE" w:rsidRPr="00DB0F4E">
        <w:rPr>
          <w:rFonts w:asciiTheme="minorHAnsi" w:hAnsiTheme="minorHAnsi"/>
          <w:color w:val="231F20"/>
          <w:sz w:val="20"/>
          <w:szCs w:val="20"/>
        </w:rPr>
        <w:t>’s key per</w:t>
      </w:r>
      <w:r w:rsidR="00986200" w:rsidRPr="00DB0F4E">
        <w:rPr>
          <w:rFonts w:asciiTheme="minorHAnsi" w:hAnsiTheme="minorHAnsi"/>
          <w:color w:val="231F20"/>
          <w:sz w:val="20"/>
          <w:szCs w:val="20"/>
        </w:rPr>
        <w:t xml:space="preserve">sonnel own an equity interest in </w:t>
      </w:r>
      <w:r w:rsidRPr="00DB0F4E">
        <w:rPr>
          <w:rFonts w:asciiTheme="minorHAnsi" w:hAnsiTheme="minorHAnsi"/>
          <w:color w:val="231F20"/>
          <w:sz w:val="20"/>
          <w:szCs w:val="20"/>
        </w:rPr>
        <w:t>DSAM</w:t>
      </w:r>
      <w:r w:rsidR="00FF30BE" w:rsidRPr="00DB0F4E">
        <w:rPr>
          <w:rFonts w:asciiTheme="minorHAnsi" w:hAnsiTheme="minorHAnsi"/>
          <w:color w:val="231F20"/>
          <w:sz w:val="20"/>
          <w:szCs w:val="20"/>
        </w:rPr>
        <w:t xml:space="preserve"> and each thus benefits from increases in the net income of </w:t>
      </w:r>
      <w:r w:rsidR="00986200" w:rsidRPr="00DB0F4E">
        <w:rPr>
          <w:rFonts w:asciiTheme="minorHAnsi" w:hAnsiTheme="minorHAnsi"/>
          <w:color w:val="231F20"/>
          <w:sz w:val="20"/>
          <w:szCs w:val="20"/>
        </w:rPr>
        <w:t>DSAM</w:t>
      </w:r>
      <w:r w:rsidR="00FF30BE" w:rsidRPr="00DB0F4E">
        <w:rPr>
          <w:rFonts w:asciiTheme="minorHAnsi" w:hAnsiTheme="minorHAnsi"/>
          <w:color w:val="231F20"/>
          <w:sz w:val="20"/>
          <w:szCs w:val="20"/>
        </w:rPr>
        <w:t xml:space="preserve">.  Compensation arrangements induce recipients to recommend </w:t>
      </w:r>
      <w:r w:rsidRPr="00DB0F4E">
        <w:rPr>
          <w:rFonts w:asciiTheme="minorHAnsi" w:hAnsiTheme="minorHAnsi"/>
          <w:color w:val="231F20"/>
          <w:sz w:val="20"/>
          <w:szCs w:val="20"/>
        </w:rPr>
        <w:t>DSAM</w:t>
      </w:r>
      <w:r w:rsidR="00FF30BE" w:rsidRPr="00DB0F4E">
        <w:rPr>
          <w:rFonts w:asciiTheme="minorHAnsi" w:hAnsiTheme="minorHAnsi"/>
          <w:color w:val="231F20"/>
          <w:sz w:val="20"/>
          <w:szCs w:val="20"/>
        </w:rPr>
        <w:t xml:space="preserve"> products and services over products and services from unaffiliated entities even though products and services from other such entities may be similar at a lower cost.</w:t>
      </w:r>
    </w:p>
    <w:p w14:paraId="46816084" w14:textId="77777777" w:rsidR="000B5E09" w:rsidRPr="00A55548" w:rsidRDefault="000B5E09">
      <w:pPr>
        <w:spacing w:before="10"/>
        <w:rPr>
          <w:rFonts w:ascii="Arial Unicode MS" w:eastAsia="Arial Unicode MS" w:hAnsi="Arial Unicode MS" w:cs="Arial Unicode MS"/>
          <w:sz w:val="20"/>
          <w:szCs w:val="20"/>
        </w:rPr>
      </w:pPr>
    </w:p>
    <w:p w14:paraId="6C607367" w14:textId="77777777" w:rsidR="004658F3" w:rsidRPr="00A55548" w:rsidRDefault="00FB1216" w:rsidP="001067EB">
      <w:pPr>
        <w:pStyle w:val="Heading1"/>
        <w:ind w:left="0" w:right="165"/>
        <w:rPr>
          <w:rFonts w:cs="Arial Unicode MS"/>
          <w:sz w:val="22"/>
          <w:szCs w:val="22"/>
        </w:rPr>
      </w:pPr>
      <w:r w:rsidRPr="00A55548">
        <w:rPr>
          <w:w w:val="110"/>
          <w:sz w:val="22"/>
          <w:szCs w:val="22"/>
        </w:rPr>
        <w:t>Do</w:t>
      </w:r>
      <w:r w:rsidRPr="00A55548">
        <w:rPr>
          <w:spacing w:val="-26"/>
          <w:w w:val="110"/>
          <w:sz w:val="22"/>
          <w:szCs w:val="22"/>
        </w:rPr>
        <w:t xml:space="preserve"> </w:t>
      </w:r>
      <w:r w:rsidRPr="00A55548">
        <w:rPr>
          <w:w w:val="110"/>
          <w:sz w:val="22"/>
          <w:szCs w:val="22"/>
        </w:rPr>
        <w:t>you</w:t>
      </w:r>
      <w:r w:rsidRPr="00A55548">
        <w:rPr>
          <w:spacing w:val="-26"/>
          <w:w w:val="110"/>
          <w:sz w:val="22"/>
          <w:szCs w:val="22"/>
        </w:rPr>
        <w:t xml:space="preserve"> </w:t>
      </w:r>
      <w:r w:rsidRPr="00A55548">
        <w:rPr>
          <w:w w:val="110"/>
          <w:sz w:val="22"/>
          <w:szCs w:val="22"/>
        </w:rPr>
        <w:t>or</w:t>
      </w:r>
      <w:r w:rsidRPr="00A55548">
        <w:rPr>
          <w:spacing w:val="-26"/>
          <w:w w:val="110"/>
          <w:sz w:val="22"/>
          <w:szCs w:val="22"/>
        </w:rPr>
        <w:t xml:space="preserve"> </w:t>
      </w:r>
      <w:r w:rsidRPr="00A55548">
        <w:rPr>
          <w:w w:val="110"/>
          <w:sz w:val="22"/>
          <w:szCs w:val="22"/>
        </w:rPr>
        <w:t>your</w:t>
      </w:r>
      <w:r w:rsidRPr="00A55548">
        <w:rPr>
          <w:spacing w:val="-26"/>
          <w:w w:val="110"/>
          <w:sz w:val="22"/>
          <w:szCs w:val="22"/>
        </w:rPr>
        <w:t xml:space="preserve"> </w:t>
      </w:r>
      <w:r w:rsidRPr="00A55548">
        <w:rPr>
          <w:w w:val="110"/>
          <w:sz w:val="22"/>
          <w:szCs w:val="22"/>
        </w:rPr>
        <w:t>financial</w:t>
      </w:r>
      <w:r w:rsidRPr="00A55548">
        <w:rPr>
          <w:spacing w:val="-26"/>
          <w:w w:val="110"/>
          <w:sz w:val="22"/>
          <w:szCs w:val="22"/>
        </w:rPr>
        <w:t xml:space="preserve"> </w:t>
      </w:r>
      <w:r w:rsidRPr="00A55548">
        <w:rPr>
          <w:w w:val="110"/>
          <w:sz w:val="22"/>
          <w:szCs w:val="22"/>
        </w:rPr>
        <w:t>professionals</w:t>
      </w:r>
      <w:r w:rsidRPr="00A55548">
        <w:rPr>
          <w:spacing w:val="-26"/>
          <w:w w:val="110"/>
          <w:sz w:val="22"/>
          <w:szCs w:val="22"/>
        </w:rPr>
        <w:t xml:space="preserve"> </w:t>
      </w:r>
      <w:r w:rsidRPr="00A55548">
        <w:rPr>
          <w:w w:val="110"/>
          <w:sz w:val="22"/>
          <w:szCs w:val="22"/>
        </w:rPr>
        <w:t>have</w:t>
      </w:r>
      <w:r w:rsidRPr="00A55548">
        <w:rPr>
          <w:spacing w:val="-26"/>
          <w:w w:val="110"/>
          <w:sz w:val="22"/>
          <w:szCs w:val="22"/>
        </w:rPr>
        <w:t xml:space="preserve"> </w:t>
      </w:r>
      <w:proofErr w:type="gramStart"/>
      <w:r w:rsidRPr="00A55548">
        <w:rPr>
          <w:w w:val="110"/>
          <w:sz w:val="22"/>
          <w:szCs w:val="22"/>
        </w:rPr>
        <w:t>legal</w:t>
      </w:r>
      <w:proofErr w:type="gramEnd"/>
      <w:r w:rsidRPr="00A55548">
        <w:rPr>
          <w:spacing w:val="-26"/>
          <w:w w:val="110"/>
          <w:sz w:val="22"/>
          <w:szCs w:val="22"/>
        </w:rPr>
        <w:t xml:space="preserve"> </w:t>
      </w:r>
      <w:r w:rsidRPr="00A55548">
        <w:rPr>
          <w:w w:val="110"/>
          <w:sz w:val="22"/>
          <w:szCs w:val="22"/>
        </w:rPr>
        <w:t>or</w:t>
      </w:r>
      <w:r w:rsidRPr="00A55548">
        <w:rPr>
          <w:spacing w:val="-26"/>
          <w:w w:val="110"/>
          <w:sz w:val="22"/>
          <w:szCs w:val="22"/>
        </w:rPr>
        <w:t xml:space="preserve"> </w:t>
      </w:r>
      <w:r w:rsidRPr="00A55548">
        <w:rPr>
          <w:w w:val="110"/>
          <w:sz w:val="22"/>
          <w:szCs w:val="22"/>
        </w:rPr>
        <w:t>disciplinary</w:t>
      </w:r>
      <w:r w:rsidRPr="00A55548">
        <w:rPr>
          <w:spacing w:val="-26"/>
          <w:w w:val="110"/>
          <w:sz w:val="22"/>
          <w:szCs w:val="22"/>
        </w:rPr>
        <w:t xml:space="preserve"> </w:t>
      </w:r>
      <w:r w:rsidRPr="00A55548">
        <w:rPr>
          <w:w w:val="110"/>
          <w:sz w:val="22"/>
          <w:szCs w:val="22"/>
        </w:rPr>
        <w:t>history?</w:t>
      </w:r>
    </w:p>
    <w:p w14:paraId="4B383340" w14:textId="77777777" w:rsidR="000B5E09" w:rsidRPr="000C112B" w:rsidRDefault="00F502C7" w:rsidP="001067EB">
      <w:pPr>
        <w:pStyle w:val="BodyText"/>
        <w:ind w:left="0" w:right="151"/>
        <w:rPr>
          <w:rFonts w:asciiTheme="minorHAnsi" w:hAnsiTheme="minorHAnsi" w:cstheme="minorHAnsi"/>
          <w:color w:val="231F20"/>
          <w:sz w:val="20"/>
          <w:szCs w:val="20"/>
        </w:rPr>
      </w:pPr>
      <w:r w:rsidRPr="000C112B">
        <w:rPr>
          <w:rFonts w:asciiTheme="minorHAnsi" w:hAnsiTheme="minorHAnsi" w:cstheme="minorHAnsi"/>
          <w:color w:val="231F20"/>
          <w:sz w:val="20"/>
          <w:szCs w:val="20"/>
        </w:rPr>
        <w:t>No</w:t>
      </w:r>
      <w:r w:rsidR="004658F3" w:rsidRPr="000C112B">
        <w:rPr>
          <w:rFonts w:asciiTheme="minorHAnsi" w:hAnsiTheme="minorHAnsi" w:cstheme="minorHAnsi"/>
          <w:color w:val="231F20"/>
          <w:sz w:val="20"/>
          <w:szCs w:val="20"/>
        </w:rPr>
        <w:t xml:space="preserve">, free and simple tools are available to research firms and financial professionals </w:t>
      </w:r>
      <w:r w:rsidR="00D060B3" w:rsidRPr="000C112B">
        <w:rPr>
          <w:rFonts w:asciiTheme="minorHAnsi" w:hAnsiTheme="minorHAnsi" w:cstheme="minorHAnsi"/>
          <w:color w:val="231F20"/>
          <w:sz w:val="20"/>
          <w:szCs w:val="20"/>
        </w:rPr>
        <w:t>at</w:t>
      </w:r>
      <w:r w:rsidR="00D060B3" w:rsidRPr="000C112B">
        <w:rPr>
          <w:rFonts w:asciiTheme="minorHAnsi" w:hAnsiTheme="minorHAnsi" w:cstheme="minorHAnsi"/>
          <w:color w:val="231F20"/>
          <w:spacing w:val="-12"/>
          <w:sz w:val="20"/>
          <w:szCs w:val="20"/>
        </w:rPr>
        <w:t xml:space="preserve"> </w:t>
      </w:r>
      <w:hyperlink r:id="rId21">
        <w:r w:rsidR="00D060B3" w:rsidRPr="00DE6558">
          <w:rPr>
            <w:rFonts w:asciiTheme="minorHAnsi" w:eastAsiaTheme="minorHAnsi" w:hAnsiTheme="minorHAnsi" w:cstheme="minorHAnsi"/>
            <w:b/>
            <w:bCs/>
            <w:color w:val="0F243E" w:themeColor="text2" w:themeShade="80"/>
            <w:u w:val="single"/>
          </w:rPr>
          <w:t>Investor.gov/CRS</w:t>
        </w:r>
      </w:hyperlink>
      <w:r w:rsidR="004658F3" w:rsidRPr="000C112B">
        <w:rPr>
          <w:rFonts w:asciiTheme="minorHAnsi" w:hAnsiTheme="minorHAnsi" w:cstheme="minorHAnsi"/>
          <w:color w:val="231F20"/>
          <w:sz w:val="20"/>
          <w:szCs w:val="20"/>
        </w:rPr>
        <w:t>, which also provides educational materials about broker-dealers, investment advisers, and investing.</w:t>
      </w:r>
    </w:p>
    <w:p w14:paraId="5E90F560" w14:textId="53CCCBB5" w:rsidR="00FF30BE" w:rsidRPr="00A55548" w:rsidRDefault="00FF30BE" w:rsidP="00313E70">
      <w:pPr>
        <w:pStyle w:val="BodyText"/>
        <w:numPr>
          <w:ilvl w:val="0"/>
          <w:numId w:val="7"/>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As a financial professional, do you have any disciplinary history? For what type of conduct?</w:t>
      </w:r>
    </w:p>
    <w:p w14:paraId="1ADD3628" w14:textId="55CAFDAB" w:rsidR="00AB5D31" w:rsidRPr="000C112B" w:rsidRDefault="00A33089" w:rsidP="00AB1B89">
      <w:pPr>
        <w:pStyle w:val="BodyText"/>
        <w:ind w:left="0" w:right="151"/>
        <w:rPr>
          <w:rFonts w:asciiTheme="minorHAnsi" w:hAnsiTheme="minorHAnsi" w:cstheme="minorHAnsi"/>
          <w:color w:val="231F20"/>
          <w:sz w:val="20"/>
          <w:szCs w:val="20"/>
        </w:rPr>
      </w:pPr>
      <w:r w:rsidRPr="000C112B">
        <w:rPr>
          <w:rFonts w:asciiTheme="minorHAnsi" w:hAnsiTheme="minorHAnsi" w:cstheme="minorHAnsi"/>
          <w:color w:val="231F20"/>
          <w:sz w:val="20"/>
          <w:szCs w:val="20"/>
        </w:rPr>
        <w:t xml:space="preserve">Additional information and disclosures pertaining to </w:t>
      </w:r>
      <w:r w:rsidR="00F502C7" w:rsidRPr="000C112B">
        <w:rPr>
          <w:rFonts w:asciiTheme="minorHAnsi" w:hAnsiTheme="minorHAnsi" w:cstheme="minorHAnsi"/>
          <w:color w:val="231F20"/>
          <w:sz w:val="20"/>
          <w:szCs w:val="20"/>
        </w:rPr>
        <w:t>DSAM</w:t>
      </w:r>
      <w:r w:rsidRPr="000C112B">
        <w:rPr>
          <w:rFonts w:asciiTheme="minorHAnsi" w:hAnsiTheme="minorHAnsi" w:cstheme="minorHAnsi"/>
          <w:color w:val="231F20"/>
          <w:sz w:val="20"/>
          <w:szCs w:val="20"/>
        </w:rPr>
        <w:t xml:space="preserve"> are available through the Investment Adviser Public Disclosure site </w:t>
      </w:r>
      <w:hyperlink r:id="rId22" w:history="1">
        <w:r w:rsidRPr="00DE6558">
          <w:rPr>
            <w:rStyle w:val="Hyperlink"/>
            <w:rFonts w:asciiTheme="minorHAnsi" w:hAnsiTheme="minorHAnsi" w:cstheme="minorHAnsi"/>
            <w:b/>
            <w:bCs/>
            <w:color w:val="0F243E" w:themeColor="text2" w:themeShade="80"/>
          </w:rPr>
          <w:t>https://adviserinfo.sec.gov/</w:t>
        </w:r>
      </w:hyperlink>
      <w:r w:rsidRPr="000C112B">
        <w:rPr>
          <w:rFonts w:asciiTheme="minorHAnsi" w:hAnsiTheme="minorHAnsi" w:cstheme="minorHAnsi"/>
          <w:color w:val="231F20"/>
          <w:sz w:val="20"/>
          <w:szCs w:val="20"/>
        </w:rPr>
        <w:t>, or through a request for the adviser’s ADV 2A/2B or Form CRS to</w:t>
      </w:r>
      <w:r w:rsidR="00E16537" w:rsidRPr="000C112B">
        <w:rPr>
          <w:rFonts w:asciiTheme="minorHAnsi" w:hAnsiTheme="minorHAnsi" w:cstheme="minorHAnsi"/>
          <w:color w:val="231F20"/>
          <w:sz w:val="20"/>
          <w:szCs w:val="20"/>
        </w:rPr>
        <w:t xml:space="preserve"> </w:t>
      </w:r>
      <w:hyperlink r:id="rId23" w:history="1">
        <w:r w:rsidR="004E5601" w:rsidRPr="00DE6558">
          <w:rPr>
            <w:rFonts w:asciiTheme="minorHAnsi" w:hAnsiTheme="minorHAnsi" w:cstheme="minorHAnsi"/>
            <w:b/>
            <w:bCs/>
            <w:color w:val="0F243E" w:themeColor="text2" w:themeShade="80"/>
            <w:u w:val="single"/>
          </w:rPr>
          <w:t>clientrelations@ducentasquared.com</w:t>
        </w:r>
      </w:hyperlink>
      <w:r w:rsidR="00E16537" w:rsidRPr="000C112B">
        <w:rPr>
          <w:rFonts w:asciiTheme="minorHAnsi" w:hAnsiTheme="minorHAnsi" w:cstheme="minorHAnsi"/>
          <w:color w:val="231F20"/>
          <w:sz w:val="20"/>
          <w:szCs w:val="20"/>
        </w:rPr>
        <w:t xml:space="preserve">, or by clicking </w:t>
      </w:r>
      <w:hyperlink r:id="rId24" w:history="1">
        <w:r w:rsidR="000E7826" w:rsidRPr="00DE6558">
          <w:rPr>
            <w:rStyle w:val="Hyperlink"/>
            <w:rFonts w:asciiTheme="minorHAnsi" w:eastAsiaTheme="minorHAnsi" w:hAnsiTheme="minorHAnsi" w:cstheme="minorHAnsi"/>
            <w:b/>
            <w:bCs/>
            <w:color w:val="0F243E" w:themeColor="text2" w:themeShade="80"/>
          </w:rPr>
          <w:t>here</w:t>
        </w:r>
        <w:r w:rsidR="000E7826" w:rsidRPr="000C112B">
          <w:rPr>
            <w:rFonts w:asciiTheme="minorHAnsi" w:hAnsiTheme="minorHAnsi" w:cstheme="minorHAnsi"/>
            <w:color w:val="231F20"/>
            <w:sz w:val="20"/>
            <w:szCs w:val="20"/>
          </w:rPr>
          <w:t>.</w:t>
        </w:r>
      </w:hyperlink>
      <w:r w:rsidR="00CE3E60" w:rsidRPr="000C112B">
        <w:rPr>
          <w:rFonts w:asciiTheme="minorHAnsi" w:hAnsiTheme="minorHAnsi" w:cstheme="minorHAnsi"/>
          <w:color w:val="231F20"/>
          <w:sz w:val="20"/>
          <w:szCs w:val="20"/>
        </w:rPr>
        <w:t xml:space="preserve">  To request up to date information you may reach DSAM at (213) 687–9170.</w:t>
      </w:r>
    </w:p>
    <w:p w14:paraId="33734CA3" w14:textId="5C6342BB" w:rsidR="000B5E09" w:rsidRPr="00A55548" w:rsidRDefault="00E16537" w:rsidP="00313E70">
      <w:pPr>
        <w:pStyle w:val="BodyText"/>
        <w:numPr>
          <w:ilvl w:val="0"/>
          <w:numId w:val="7"/>
        </w:numPr>
        <w:spacing w:before="182" w:after="240"/>
        <w:ind w:right="151"/>
        <w:rPr>
          <w:rFonts w:ascii="Arial Narrow" w:eastAsiaTheme="minorHAnsi" w:hAnsiTheme="minorHAnsi"/>
          <w:b/>
          <w:i/>
          <w:color w:val="0F243E" w:themeColor="text2" w:themeShade="80"/>
          <w:w w:val="110"/>
        </w:rPr>
      </w:pPr>
      <w:r w:rsidRPr="00A55548">
        <w:rPr>
          <w:rFonts w:ascii="Arial Narrow" w:eastAsiaTheme="minorHAnsi" w:hAnsiTheme="minorHAnsi"/>
          <w:b/>
          <w:i/>
          <w:color w:val="0F243E" w:themeColor="text2" w:themeShade="80"/>
          <w:w w:val="110"/>
        </w:rPr>
        <w:t>Who is my primary contact person?  Is he or she a representative of an investment adviser or a broker- dealer?  Who can I talk to if I have concerns about how this person is treating me?</w:t>
      </w:r>
    </w:p>
    <w:sectPr w:rsidR="000B5E09" w:rsidRPr="00A55548" w:rsidSect="00F502C7">
      <w:headerReference w:type="default" r:id="rId25"/>
      <w:footerReference w:type="default" r:id="rId26"/>
      <w:pgSz w:w="12240" w:h="15840"/>
      <w:pgMar w:top="864" w:right="1008" w:bottom="720" w:left="1008"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5981" w14:textId="77777777" w:rsidR="00F66072" w:rsidRDefault="00FB1216">
      <w:r>
        <w:separator/>
      </w:r>
    </w:p>
  </w:endnote>
  <w:endnote w:type="continuationSeparator" w:id="0">
    <w:p w14:paraId="4E90E39D" w14:textId="77777777" w:rsidR="00F66072" w:rsidRDefault="00FB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6C18" w14:textId="77777777" w:rsidR="000B5E09" w:rsidRDefault="000B5E0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DE5C" w14:textId="77777777" w:rsidR="00F66072" w:rsidRDefault="00FB1216">
      <w:r>
        <w:separator/>
      </w:r>
    </w:p>
  </w:footnote>
  <w:footnote w:type="continuationSeparator" w:id="0">
    <w:p w14:paraId="459A2925" w14:textId="77777777" w:rsidR="00F66072" w:rsidRDefault="00FB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ABAE" w14:textId="17719B94" w:rsidR="00BD0220" w:rsidRDefault="00B44748" w:rsidP="00B44748">
    <w:pPr>
      <w:tabs>
        <w:tab w:val="left" w:pos="9540"/>
      </w:tabs>
      <w:ind w:right="614"/>
      <w:jc w:val="center"/>
      <w:rPr>
        <w:rFonts w:cs="Arial Unicode MS"/>
        <w:color w:val="231F20"/>
        <w:sz w:val="20"/>
        <w:szCs w:val="20"/>
      </w:rPr>
    </w:pPr>
    <w:r>
      <w:rPr>
        <w:noProof/>
      </w:rPr>
      <w:drawing>
        <wp:inline distT="0" distB="0" distL="0" distR="0" wp14:anchorId="7C6A2A78" wp14:editId="6BF0D6BD">
          <wp:extent cx="1323975" cy="361950"/>
          <wp:effectExtent l="0" t="0" r="9525" b="0"/>
          <wp:docPr id="8" name="Picture 7">
            <a:extLst xmlns:a="http://schemas.openxmlformats.org/drawingml/2006/main">
              <a:ext uri="{FF2B5EF4-FFF2-40B4-BE49-F238E27FC236}">
                <a16:creationId xmlns:a16="http://schemas.microsoft.com/office/drawing/2014/main" id="{D7E2B1C2-5ACD-476C-AEF4-DD437376F86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7E2B1C2-5ACD-476C-AEF4-DD437376F86D}"/>
                      </a:ext>
                    </a:extLst>
                  </pic:cNvPr>
                  <pic:cNvPicPr/>
                </pic:nvPicPr>
                <pic:blipFill>
                  <a:blip r:embed="rId1"/>
                  <a:stretch>
                    <a:fillRect/>
                  </a:stretch>
                </pic:blipFill>
                <pic:spPr>
                  <a:xfrm>
                    <a:off x="0" y="0"/>
                    <a:ext cx="1323975" cy="361950"/>
                  </a:xfrm>
                  <a:prstGeom prst="rect">
                    <a:avLst/>
                  </a:prstGeom>
                </pic:spPr>
              </pic:pic>
            </a:graphicData>
          </a:graphic>
        </wp:inline>
      </w:drawing>
    </w:r>
  </w:p>
  <w:p w14:paraId="4624EFC5" w14:textId="43548A78" w:rsidR="00BD0220" w:rsidRPr="000C112B" w:rsidRDefault="00612B3C" w:rsidP="00B44748">
    <w:pPr>
      <w:tabs>
        <w:tab w:val="left" w:pos="9540"/>
      </w:tabs>
      <w:ind w:right="614"/>
      <w:rPr>
        <w:rFonts w:cs="Arial Unicode MS"/>
        <w:b/>
        <w:color w:val="231F20"/>
        <w:sz w:val="20"/>
        <w:szCs w:val="20"/>
      </w:rPr>
    </w:pPr>
    <w:r>
      <w:rPr>
        <w:rFonts w:cs="Arial Unicode MS"/>
        <w:b/>
        <w:color w:val="231F20"/>
        <w:sz w:val="20"/>
        <w:szCs w:val="20"/>
      </w:rPr>
      <w:t xml:space="preserve">March </w:t>
    </w:r>
    <w:r w:rsidR="00322B29">
      <w:rPr>
        <w:rFonts w:cs="Arial Unicode MS"/>
        <w:b/>
        <w:color w:val="231F20"/>
        <w:sz w:val="20"/>
        <w:szCs w:val="20"/>
      </w:rPr>
      <w:t>15, 2023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BA3"/>
    <w:multiLevelType w:val="hybridMultilevel"/>
    <w:tmpl w:val="5F3E6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065EE"/>
    <w:multiLevelType w:val="hybridMultilevel"/>
    <w:tmpl w:val="6EFE7BB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52E5669D"/>
    <w:multiLevelType w:val="hybridMultilevel"/>
    <w:tmpl w:val="22D23A4E"/>
    <w:lvl w:ilvl="0" w:tplc="9F0E7C18">
      <w:numFmt w:val="bullet"/>
      <w:lvlText w:val=""/>
      <w:lvlJc w:val="left"/>
      <w:pPr>
        <w:ind w:left="460" w:hanging="360"/>
      </w:pPr>
      <w:rPr>
        <w:rFonts w:ascii="Symbol" w:eastAsiaTheme="minorHAnsi"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5F55B2E"/>
    <w:multiLevelType w:val="hybridMultilevel"/>
    <w:tmpl w:val="8F9E230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632125FE"/>
    <w:multiLevelType w:val="hybridMultilevel"/>
    <w:tmpl w:val="CE06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5A46E5"/>
    <w:multiLevelType w:val="hybridMultilevel"/>
    <w:tmpl w:val="F128417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67771EA4"/>
    <w:multiLevelType w:val="hybridMultilevel"/>
    <w:tmpl w:val="877C3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4C7393"/>
    <w:multiLevelType w:val="hybridMultilevel"/>
    <w:tmpl w:val="7E224E82"/>
    <w:lvl w:ilvl="0" w:tplc="D1403F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424809">
    <w:abstractNumId w:val="1"/>
  </w:num>
  <w:num w:numId="2" w16cid:durableId="660276366">
    <w:abstractNumId w:val="3"/>
  </w:num>
  <w:num w:numId="3" w16cid:durableId="196436096">
    <w:abstractNumId w:val="5"/>
  </w:num>
  <w:num w:numId="4" w16cid:durableId="673387066">
    <w:abstractNumId w:val="7"/>
  </w:num>
  <w:num w:numId="5" w16cid:durableId="919602638">
    <w:abstractNumId w:val="2"/>
  </w:num>
  <w:num w:numId="6" w16cid:durableId="73554473">
    <w:abstractNumId w:val="6"/>
  </w:num>
  <w:num w:numId="7" w16cid:durableId="575744584">
    <w:abstractNumId w:val="4"/>
  </w:num>
  <w:num w:numId="8" w16cid:durableId="55354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09"/>
    <w:rsid w:val="000A46DE"/>
    <w:rsid w:val="000B5E09"/>
    <w:rsid w:val="000B5F6E"/>
    <w:rsid w:val="000C112B"/>
    <w:rsid w:val="000E7826"/>
    <w:rsid w:val="001067EB"/>
    <w:rsid w:val="00160293"/>
    <w:rsid w:val="00176753"/>
    <w:rsid w:val="00182A25"/>
    <w:rsid w:val="00183F97"/>
    <w:rsid w:val="001D3802"/>
    <w:rsid w:val="002A389A"/>
    <w:rsid w:val="002B6F62"/>
    <w:rsid w:val="002E14E5"/>
    <w:rsid w:val="002F3368"/>
    <w:rsid w:val="00313E70"/>
    <w:rsid w:val="00322B29"/>
    <w:rsid w:val="00382467"/>
    <w:rsid w:val="00386888"/>
    <w:rsid w:val="0039532B"/>
    <w:rsid w:val="004658F3"/>
    <w:rsid w:val="00476ED2"/>
    <w:rsid w:val="00496415"/>
    <w:rsid w:val="004E5601"/>
    <w:rsid w:val="00530C75"/>
    <w:rsid w:val="00545F5D"/>
    <w:rsid w:val="0054733E"/>
    <w:rsid w:val="005473D0"/>
    <w:rsid w:val="005C36BA"/>
    <w:rsid w:val="00612B3C"/>
    <w:rsid w:val="006D76B8"/>
    <w:rsid w:val="0074066D"/>
    <w:rsid w:val="0076753F"/>
    <w:rsid w:val="00791A61"/>
    <w:rsid w:val="007A73A0"/>
    <w:rsid w:val="007E2AAB"/>
    <w:rsid w:val="008A7B92"/>
    <w:rsid w:val="00986200"/>
    <w:rsid w:val="009D5E13"/>
    <w:rsid w:val="00A33089"/>
    <w:rsid w:val="00A55548"/>
    <w:rsid w:val="00AB1B89"/>
    <w:rsid w:val="00AB5D31"/>
    <w:rsid w:val="00B44748"/>
    <w:rsid w:val="00B61302"/>
    <w:rsid w:val="00BC6FAD"/>
    <w:rsid w:val="00BD0220"/>
    <w:rsid w:val="00C00BB3"/>
    <w:rsid w:val="00CB1568"/>
    <w:rsid w:val="00CE3E60"/>
    <w:rsid w:val="00D060B3"/>
    <w:rsid w:val="00D1371C"/>
    <w:rsid w:val="00DB0F4E"/>
    <w:rsid w:val="00DE6558"/>
    <w:rsid w:val="00E16537"/>
    <w:rsid w:val="00E70E77"/>
    <w:rsid w:val="00E92989"/>
    <w:rsid w:val="00EB17EE"/>
    <w:rsid w:val="00EB5BC9"/>
    <w:rsid w:val="00EC2B63"/>
    <w:rsid w:val="00F502C7"/>
    <w:rsid w:val="00F66072"/>
    <w:rsid w:val="00F864C3"/>
    <w:rsid w:val="00FB1216"/>
    <w:rsid w:val="00FD5469"/>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6D82890"/>
  <w15:docId w15:val="{9B3A55D4-2409-4867-B934-C2047B61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Narrow" w:eastAsia="Arial Narrow" w:hAnsi="Arial Narrow"/>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Unicode MS" w:eastAsia="Arial Unicode MS" w:hAnsi="Arial Unicode M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ageNumber">
    <w:name w:val="page number"/>
    <w:uiPriority w:val="99"/>
    <w:rsid w:val="001D3802"/>
  </w:style>
  <w:style w:type="character" w:styleId="Hyperlink">
    <w:name w:val="Hyperlink"/>
    <w:rsid w:val="001D3802"/>
    <w:rPr>
      <w:u w:val="single"/>
    </w:rPr>
  </w:style>
  <w:style w:type="paragraph" w:styleId="Header">
    <w:name w:val="header"/>
    <w:basedOn w:val="Normal"/>
    <w:link w:val="HeaderChar"/>
    <w:uiPriority w:val="99"/>
    <w:unhideWhenUsed/>
    <w:rsid w:val="00FD5469"/>
    <w:pPr>
      <w:tabs>
        <w:tab w:val="center" w:pos="4680"/>
        <w:tab w:val="right" w:pos="9360"/>
      </w:tabs>
    </w:pPr>
  </w:style>
  <w:style w:type="character" w:customStyle="1" w:styleId="HeaderChar">
    <w:name w:val="Header Char"/>
    <w:basedOn w:val="DefaultParagraphFont"/>
    <w:link w:val="Header"/>
    <w:uiPriority w:val="99"/>
    <w:rsid w:val="00FD5469"/>
  </w:style>
  <w:style w:type="paragraph" w:styleId="Footer">
    <w:name w:val="footer"/>
    <w:basedOn w:val="Normal"/>
    <w:link w:val="FooterChar"/>
    <w:uiPriority w:val="99"/>
    <w:unhideWhenUsed/>
    <w:rsid w:val="00FD5469"/>
    <w:pPr>
      <w:tabs>
        <w:tab w:val="center" w:pos="4680"/>
        <w:tab w:val="right" w:pos="9360"/>
      </w:tabs>
    </w:pPr>
  </w:style>
  <w:style w:type="character" w:customStyle="1" w:styleId="FooterChar">
    <w:name w:val="Footer Char"/>
    <w:basedOn w:val="DefaultParagraphFont"/>
    <w:link w:val="Footer"/>
    <w:uiPriority w:val="99"/>
    <w:rsid w:val="00FD5469"/>
  </w:style>
  <w:style w:type="character" w:styleId="FollowedHyperlink">
    <w:name w:val="FollowedHyperlink"/>
    <w:basedOn w:val="DefaultParagraphFont"/>
    <w:uiPriority w:val="99"/>
    <w:semiHidden/>
    <w:unhideWhenUsed/>
    <w:rsid w:val="00160293"/>
    <w:rPr>
      <w:color w:val="800080" w:themeColor="followedHyperlink"/>
      <w:u w:val="single"/>
    </w:rPr>
  </w:style>
  <w:style w:type="character" w:styleId="UnresolvedMention">
    <w:name w:val="Unresolved Mention"/>
    <w:basedOn w:val="DefaultParagraphFont"/>
    <w:uiPriority w:val="99"/>
    <w:semiHidden/>
    <w:unhideWhenUsed/>
    <w:rsid w:val="000A46DE"/>
    <w:rPr>
      <w:color w:val="605E5C"/>
      <w:shd w:val="clear" w:color="auto" w:fill="E1DFDD"/>
    </w:rPr>
  </w:style>
  <w:style w:type="paragraph" w:styleId="Revision">
    <w:name w:val="Revision"/>
    <w:hidden/>
    <w:uiPriority w:val="99"/>
    <w:semiHidden/>
    <w:rsid w:val="00DB0F4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dviserinfo.sec.gov/" TargetMode="External"/><Relationship Id="rId13" Type="http://schemas.openxmlformats.org/officeDocument/2006/relationships/hyperlink" Target="https://files.adviserinfo.sec.gov/IAPD/Content/Common/crd_iapd_Brochure.aspx?BRCHR_VRSN_ID=827404" TargetMode="External"/><Relationship Id="rId18" Type="http://schemas.openxmlformats.org/officeDocument/2006/relationships/hyperlink" Target="https://adviserinfo.sec.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Investor.gov/CRS" TargetMode="External"/><Relationship Id="rId7" Type="http://schemas.openxmlformats.org/officeDocument/2006/relationships/hyperlink" Target="http://Investor.gov/CRS" TargetMode="External"/><Relationship Id="rId12" Type="http://schemas.openxmlformats.org/officeDocument/2006/relationships/hyperlink" Target="mailto:clientrelations@ducentasquared.com" TargetMode="External"/><Relationship Id="rId17" Type="http://schemas.openxmlformats.org/officeDocument/2006/relationships/hyperlink" Target="https://files.adviserinfo.sec.gov/IAPD/Content/Common/crd_iapd_Brochure.aspx?BRCHR_VRSN_ID=82740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iles.adviserinfo.sec.gov/IAPD/Content/Common/crd_iapd_Brochure.aspx?BRCHR_VRSN_ID=634122" TargetMode="External"/><Relationship Id="rId20" Type="http://schemas.openxmlformats.org/officeDocument/2006/relationships/hyperlink" Target="https://files.adviserinfo.sec.gov/IAPD/Content/Common/crd_iapd_Brochure.aspx?BRCHR_VRSN_ID=8274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viserinfo.sec.gov/" TargetMode="External"/><Relationship Id="rId24" Type="http://schemas.openxmlformats.org/officeDocument/2006/relationships/hyperlink" Target="https://files.adviserinfo.sec.gov/IAPD/Content/Common/crd_iapd_Brochure.aspx?BRCHR_VRSN_ID=827404" TargetMode="External"/><Relationship Id="rId5" Type="http://schemas.openxmlformats.org/officeDocument/2006/relationships/footnotes" Target="footnotes.xml"/><Relationship Id="rId15" Type="http://schemas.openxmlformats.org/officeDocument/2006/relationships/hyperlink" Target="mailto:clientrelations@ducentasquared.com" TargetMode="External"/><Relationship Id="rId23" Type="http://schemas.openxmlformats.org/officeDocument/2006/relationships/hyperlink" Target="mailto:clientrelations@ducentasquared.com" TargetMode="External"/><Relationship Id="rId28" Type="http://schemas.openxmlformats.org/officeDocument/2006/relationships/theme" Target="theme/theme1.xml"/><Relationship Id="rId10" Type="http://schemas.openxmlformats.org/officeDocument/2006/relationships/hyperlink" Target="https://files.adviserinfo.sec.gov/IAPD/Content/Common/crd_iapd_Brochure.aspx?BRCHR_VRSN_ID=827404" TargetMode="External"/><Relationship Id="rId19" Type="http://schemas.openxmlformats.org/officeDocument/2006/relationships/hyperlink" Target="mailto:clientrelations@ducentasquared.com" TargetMode="External"/><Relationship Id="rId4" Type="http://schemas.openxmlformats.org/officeDocument/2006/relationships/webSettings" Target="webSettings.xml"/><Relationship Id="rId9" Type="http://schemas.openxmlformats.org/officeDocument/2006/relationships/hyperlink" Target="mailto:clientrelations@ducentasquared.com" TargetMode="External"/><Relationship Id="rId14" Type="http://schemas.openxmlformats.org/officeDocument/2006/relationships/hyperlink" Target="https://adviserinfo.sec.gov/" TargetMode="External"/><Relationship Id="rId22" Type="http://schemas.openxmlformats.org/officeDocument/2006/relationships/hyperlink" Target="https://adviserinfo.sec.go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Tortoise Capital Advisors</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Rall</dc:creator>
  <cp:lastModifiedBy>Jason Rall</cp:lastModifiedBy>
  <cp:revision>4</cp:revision>
  <dcterms:created xsi:type="dcterms:W3CDTF">2023-03-21T15:55:00Z</dcterms:created>
  <dcterms:modified xsi:type="dcterms:W3CDTF">2023-03-24T16:07:00Z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Adobe InDesign 14.0 (Macintosh)</vt:lpwstr>
  </property>
  <property fmtid="{D5CDD505-2E9C-101B-9397-08002B2CF9AE}" pid="4" name="LastSaved">
    <vt:filetime>2020-04-22T00:00:00Z</vt:filetime>
  </property>
</Properties>
</file>